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12960"/>
      </w:tblGrid>
      <w:tr w:rsidR="002D3179" w:rsidTr="002D3179">
        <w:tc>
          <w:tcPr>
            <w:tcW w:w="5000" w:type="pct"/>
            <w:shd w:val="clear" w:color="auto" w:fill="FFFFFF"/>
            <w:tcMar>
              <w:top w:w="225" w:type="dxa"/>
              <w:left w:w="0" w:type="dxa"/>
              <w:bottom w:w="225" w:type="dxa"/>
              <w:right w:w="0" w:type="dxa"/>
            </w:tcMar>
          </w:tcPr>
          <w:tbl>
            <w:tblPr>
              <w:tblW w:w="5000" w:type="pct"/>
              <w:shd w:val="clear" w:color="auto" w:fill="FFFFFF"/>
              <w:tblCellMar>
                <w:left w:w="0" w:type="dxa"/>
                <w:right w:w="0" w:type="dxa"/>
              </w:tblCellMar>
              <w:tblLook w:val="04A0" w:firstRow="1" w:lastRow="0" w:firstColumn="1" w:lastColumn="0" w:noHBand="0" w:noVBand="1"/>
            </w:tblPr>
            <w:tblGrid>
              <w:gridCol w:w="12960"/>
            </w:tblGrid>
            <w:tr w:rsidR="002D3179">
              <w:tc>
                <w:tcPr>
                  <w:tcW w:w="5000" w:type="pct"/>
                  <w:shd w:val="clear" w:color="auto" w:fill="FFFFFF"/>
                  <w:hideMark/>
                </w:tcPr>
                <w:tbl>
                  <w:tblPr>
                    <w:tblW w:w="10500" w:type="dxa"/>
                    <w:jc w:val="center"/>
                    <w:tblCellMar>
                      <w:left w:w="0" w:type="dxa"/>
                      <w:right w:w="0" w:type="dxa"/>
                    </w:tblCellMar>
                    <w:tblLook w:val="04A0" w:firstRow="1" w:lastRow="0" w:firstColumn="1" w:lastColumn="0" w:noHBand="0" w:noVBand="1"/>
                  </w:tblPr>
                  <w:tblGrid>
                    <w:gridCol w:w="10500"/>
                  </w:tblGrid>
                  <w:tr w:rsidR="002D3179">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10500"/>
                        </w:tblGrid>
                        <w:tr w:rsidR="002D3179">
                          <w:tc>
                            <w:tcPr>
                              <w:tcW w:w="10500" w:type="dxa"/>
                              <w:hideMark/>
                            </w:tcPr>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10500"/>
                                    </w:tblGrid>
                                    <w:tr w:rsidR="002D3179">
                                      <w:trPr>
                                        <w:jc w:val="center"/>
                                      </w:trPr>
                                      <w:tc>
                                        <w:tcPr>
                                          <w:tcW w:w="0" w:type="auto"/>
                                          <w:vAlign w:val="center"/>
                                          <w:hideMark/>
                                        </w:tcPr>
                                        <w:p w:rsidR="002D3179" w:rsidRDefault="002D3179">
                                          <w:pPr>
                                            <w:rPr>
                                              <w:rFonts w:eastAsia="Times New Roman"/>
                                            </w:rPr>
                                          </w:pPr>
                                          <w:r>
                                            <w:rPr>
                                              <w:rFonts w:eastAsia="Times New Roman"/>
                                              <w:noProof/>
                                            </w:rPr>
                                            <w:drawing>
                                              <wp:inline distT="0" distB="0" distL="0" distR="0">
                                                <wp:extent cx="6667500" cy="1285875"/>
                                                <wp:effectExtent l="0" t="0" r="0" b="9525"/>
                                                <wp:docPr id="5" name="Picture 5" descr="https://staticapp.icpsc.com/icp/resources/mogile/1716234/e83be2a9ec7a0e8e33cccc13d457fd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app.icpsc.com/icp/resources/mogile/1716234/e83be2a9ec7a0e8e33cccc13d457fd9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0" cy="1285875"/>
                                                        </a:xfrm>
                                                        <a:prstGeom prst="rect">
                                                          <a:avLst/>
                                                        </a:prstGeom>
                                                        <a:noFill/>
                                                        <a:ln>
                                                          <a:noFill/>
                                                        </a:ln>
                                                      </pic:spPr>
                                                    </pic:pic>
                                                  </a:graphicData>
                                                </a:graphic>
                                              </wp:inline>
                                            </w:drawing>
                                          </w:r>
                                        </w:p>
                                      </w:tc>
                                    </w:tr>
                                  </w:tbl>
                                  <w:p w:rsidR="002D3179" w:rsidRDefault="002D3179">
                                    <w:pPr>
                                      <w:jc w:val="center"/>
                                      <w:rPr>
                                        <w:rFonts w:eastAsia="Times New Roman"/>
                                        <w:sz w:val="20"/>
                                        <w:szCs w:val="20"/>
                                      </w:rPr>
                                    </w:pPr>
                                  </w:p>
                                </w:tc>
                              </w:tr>
                            </w:tbl>
                            <w:p w:rsidR="002D3179" w:rsidRDefault="002D3179">
                              <w:pPr>
                                <w:rPr>
                                  <w:rFonts w:eastAsia="Times New Roman"/>
                                  <w:sz w:val="20"/>
                                  <w:szCs w:val="20"/>
                                </w:rPr>
                              </w:pPr>
                            </w:p>
                          </w:tc>
                        </w:tr>
                      </w:tbl>
                      <w:p w:rsidR="002D3179" w:rsidRDefault="002D3179">
                        <w:pPr>
                          <w:rPr>
                            <w:rFonts w:eastAsia="Times New Roman"/>
                            <w:sz w:val="20"/>
                            <w:szCs w:val="20"/>
                          </w:rPr>
                        </w:pPr>
                      </w:p>
                    </w:tc>
                  </w:tr>
                </w:tbl>
                <w:p w:rsidR="002D3179" w:rsidRDefault="002D3179">
                  <w:pPr>
                    <w:jc w:val="center"/>
                    <w:rPr>
                      <w:rFonts w:eastAsia="Times New Roman"/>
                      <w:sz w:val="20"/>
                      <w:szCs w:val="20"/>
                    </w:rPr>
                  </w:pPr>
                </w:p>
              </w:tc>
            </w:tr>
          </w:tbl>
          <w:p w:rsidR="002D3179" w:rsidRDefault="002D3179">
            <w:pPr>
              <w:rPr>
                <w:rFonts w:ascii="Arial" w:eastAsia="Times New Roman" w:hAnsi="Arial" w:cs="Arial"/>
                <w:vanish/>
              </w:rPr>
            </w:pPr>
          </w:p>
          <w:tbl>
            <w:tblPr>
              <w:tblW w:w="5000" w:type="pct"/>
              <w:shd w:val="clear" w:color="auto" w:fill="FFFFFF"/>
              <w:tblCellMar>
                <w:left w:w="0" w:type="dxa"/>
                <w:right w:w="0" w:type="dxa"/>
              </w:tblCellMar>
              <w:tblLook w:val="04A0" w:firstRow="1" w:lastRow="0" w:firstColumn="1" w:lastColumn="0" w:noHBand="0" w:noVBand="1"/>
            </w:tblPr>
            <w:tblGrid>
              <w:gridCol w:w="12960"/>
            </w:tblGrid>
            <w:tr w:rsidR="002D3179">
              <w:trPr>
                <w:hidden/>
              </w:trPr>
              <w:tc>
                <w:tcPr>
                  <w:tcW w:w="5000" w:type="pct"/>
                  <w:shd w:val="clear" w:color="auto" w:fill="FFFFFF"/>
                  <w:hideMark/>
                </w:tcPr>
                <w:tbl>
                  <w:tblPr>
                    <w:tblW w:w="10500" w:type="dxa"/>
                    <w:jc w:val="center"/>
                    <w:tblCellMar>
                      <w:left w:w="0" w:type="dxa"/>
                      <w:right w:w="0" w:type="dxa"/>
                    </w:tblCellMar>
                    <w:tblLook w:val="04A0" w:firstRow="1" w:lastRow="0" w:firstColumn="1" w:lastColumn="0" w:noHBand="0" w:noVBand="1"/>
                  </w:tblPr>
                  <w:tblGrid>
                    <w:gridCol w:w="10500"/>
                  </w:tblGrid>
                  <w:tr w:rsidR="002D3179">
                    <w:trPr>
                      <w:jc w:val="center"/>
                      <w:hidden/>
                    </w:trPr>
                    <w:tc>
                      <w:tcPr>
                        <w:tcW w:w="0" w:type="auto"/>
                        <w:tcMar>
                          <w:top w:w="0" w:type="dxa"/>
                          <w:left w:w="120" w:type="dxa"/>
                          <w:bottom w:w="0" w:type="dxa"/>
                          <w:right w:w="120" w:type="dxa"/>
                        </w:tcMar>
                        <w:vAlign w:val="center"/>
                        <w:hideMark/>
                      </w:tcPr>
                      <w:tbl>
                        <w:tblPr>
                          <w:tblW w:w="5000" w:type="pct"/>
                          <w:tblCellMar>
                            <w:left w:w="0" w:type="dxa"/>
                            <w:right w:w="0" w:type="dxa"/>
                          </w:tblCellMar>
                          <w:tblLook w:val="04A0" w:firstRow="1" w:lastRow="0" w:firstColumn="1" w:lastColumn="0" w:noHBand="0" w:noVBand="1"/>
                        </w:tblPr>
                        <w:tblGrid>
                          <w:gridCol w:w="120"/>
                          <w:gridCol w:w="10020"/>
                          <w:gridCol w:w="120"/>
                        </w:tblGrid>
                        <w:tr w:rsidR="002D3179">
                          <w:trPr>
                            <w:hidden/>
                          </w:trPr>
                          <w:tc>
                            <w:tcPr>
                              <w:tcW w:w="120" w:type="dxa"/>
                              <w:vAlign w:val="center"/>
                              <w:hideMark/>
                            </w:tcPr>
                            <w:p w:rsidR="002D3179" w:rsidRDefault="002D3179">
                              <w:pPr>
                                <w:rPr>
                                  <w:rFonts w:ascii="Arial" w:eastAsia="Times New Roman" w:hAnsi="Arial" w:cs="Arial"/>
                                  <w:vanish/>
                                </w:rPr>
                              </w:pPr>
                            </w:p>
                          </w:tc>
                          <w:tc>
                            <w:tcPr>
                              <w:tcW w:w="10020" w:type="dxa"/>
                              <w:hideMark/>
                            </w:tcPr>
                            <w:tbl>
                              <w:tblPr>
                                <w:tblW w:w="5000" w:type="pct"/>
                                <w:tblCellMar>
                                  <w:left w:w="0" w:type="dxa"/>
                                  <w:right w:w="0" w:type="dxa"/>
                                </w:tblCellMar>
                                <w:tblLook w:val="04A0" w:firstRow="1" w:lastRow="0" w:firstColumn="1" w:lastColumn="0" w:noHBand="0" w:noVBand="1"/>
                              </w:tblPr>
                              <w:tblGrid>
                                <w:gridCol w:w="10020"/>
                              </w:tblGrid>
                              <w:tr w:rsidR="002D3179">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020"/>
                                    </w:tblGrid>
                                    <w:tr w:rsidR="002D3179">
                                      <w:trPr>
                                        <w:jc w:val="center"/>
                                      </w:trPr>
                                      <w:tc>
                                        <w:tcPr>
                                          <w:tcW w:w="0" w:type="auto"/>
                                          <w:tcBorders>
                                            <w:top w:val="nil"/>
                                            <w:left w:val="nil"/>
                                            <w:bottom w:val="single" w:sz="6" w:space="0" w:color="10B4B9"/>
                                            <w:right w:val="nil"/>
                                          </w:tcBorders>
                                          <w:vAlign w:val="center"/>
                                          <w:hideMark/>
                                        </w:tcPr>
                                        <w:p w:rsidR="002D3179" w:rsidRDefault="002D3179">
                                          <w:pPr>
                                            <w:spacing w:line="0" w:lineRule="atLeast"/>
                                            <w:rPr>
                                              <w:rFonts w:eastAsia="Times New Roman"/>
                                              <w:sz w:val="2"/>
                                              <w:szCs w:val="2"/>
                                            </w:rPr>
                                          </w:pPr>
                                          <w:r>
                                            <w:rPr>
                                              <w:rFonts w:eastAsia="Times New Roman"/>
                                              <w:sz w:val="2"/>
                                              <w:szCs w:val="2"/>
                                            </w:rPr>
                                            <w:t> </w:t>
                                          </w:r>
                                        </w:p>
                                      </w:tc>
                                    </w:tr>
                                  </w:tbl>
                                  <w:p w:rsidR="002D3179" w:rsidRDefault="002D3179">
                                    <w:pPr>
                                      <w:jc w:val="center"/>
                                      <w:rPr>
                                        <w:rFonts w:eastAsia="Times New Roman"/>
                                        <w:sz w:val="20"/>
                                        <w:szCs w:val="20"/>
                                      </w:rPr>
                                    </w:pPr>
                                  </w:p>
                                </w:tc>
                              </w:tr>
                            </w:tbl>
                            <w:p w:rsidR="002D3179" w:rsidRDefault="002D3179">
                              <w:pPr>
                                <w:rPr>
                                  <w:rFonts w:eastAsia="Times New Roman"/>
                                  <w:sz w:val="20"/>
                                  <w:szCs w:val="20"/>
                                </w:rPr>
                              </w:pPr>
                            </w:p>
                          </w:tc>
                          <w:tc>
                            <w:tcPr>
                              <w:tcW w:w="120" w:type="dxa"/>
                              <w:vAlign w:val="center"/>
                              <w:hideMark/>
                            </w:tcPr>
                            <w:p w:rsidR="002D3179" w:rsidRDefault="002D3179">
                              <w:pPr>
                                <w:rPr>
                                  <w:rFonts w:eastAsia="Times New Roman"/>
                                  <w:sz w:val="20"/>
                                  <w:szCs w:val="20"/>
                                </w:rPr>
                              </w:pPr>
                            </w:p>
                          </w:tc>
                        </w:tr>
                      </w:tbl>
                      <w:p w:rsidR="002D3179" w:rsidRDefault="002D3179">
                        <w:pPr>
                          <w:rPr>
                            <w:rFonts w:eastAsia="Times New Roman"/>
                            <w:sz w:val="20"/>
                            <w:szCs w:val="20"/>
                          </w:rPr>
                        </w:pPr>
                      </w:p>
                    </w:tc>
                  </w:tr>
                </w:tbl>
                <w:p w:rsidR="002D3179" w:rsidRDefault="002D3179">
                  <w:pPr>
                    <w:jc w:val="center"/>
                    <w:rPr>
                      <w:rFonts w:eastAsia="Times New Roman"/>
                      <w:sz w:val="20"/>
                      <w:szCs w:val="20"/>
                    </w:rPr>
                  </w:pPr>
                </w:p>
              </w:tc>
            </w:tr>
          </w:tbl>
          <w:p w:rsidR="002D3179" w:rsidRDefault="002D3179">
            <w:pPr>
              <w:rPr>
                <w:rFonts w:ascii="Arial" w:eastAsia="Times New Roman" w:hAnsi="Arial" w:cs="Arial"/>
                <w:vanish/>
              </w:rPr>
            </w:pPr>
          </w:p>
          <w:tbl>
            <w:tblPr>
              <w:tblW w:w="5000" w:type="pct"/>
              <w:shd w:val="clear" w:color="auto" w:fill="FFFFFF"/>
              <w:tblCellMar>
                <w:left w:w="0" w:type="dxa"/>
                <w:right w:w="0" w:type="dxa"/>
              </w:tblCellMar>
              <w:tblLook w:val="04A0" w:firstRow="1" w:lastRow="0" w:firstColumn="1" w:lastColumn="0" w:noHBand="0" w:noVBand="1"/>
            </w:tblPr>
            <w:tblGrid>
              <w:gridCol w:w="12960"/>
            </w:tblGrid>
            <w:tr w:rsidR="002D3179">
              <w:tc>
                <w:tcPr>
                  <w:tcW w:w="5000" w:type="pct"/>
                  <w:shd w:val="clear" w:color="auto" w:fill="FFFFFF"/>
                  <w:hideMark/>
                </w:tcPr>
                <w:tbl>
                  <w:tblPr>
                    <w:tblW w:w="10500" w:type="dxa"/>
                    <w:jc w:val="center"/>
                    <w:tblCellMar>
                      <w:left w:w="0" w:type="dxa"/>
                      <w:right w:w="0" w:type="dxa"/>
                    </w:tblCellMar>
                    <w:tblLook w:val="04A0" w:firstRow="1" w:lastRow="0" w:firstColumn="1" w:lastColumn="0" w:noHBand="0" w:noVBand="1"/>
                  </w:tblPr>
                  <w:tblGrid>
                    <w:gridCol w:w="10500"/>
                  </w:tblGrid>
                  <w:tr w:rsidR="002D3179">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10500"/>
                        </w:tblGrid>
                        <w:tr w:rsidR="002D3179">
                          <w:tc>
                            <w:tcPr>
                              <w:tcW w:w="10500" w:type="dxa"/>
                            </w:tcPr>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p w:rsidR="002D3179" w:rsidRDefault="002D3179">
                                    <w:pPr>
                                      <w:pStyle w:val="NormalWeb"/>
                                      <w:shd w:val="clear" w:color="auto" w:fill="10B4B9"/>
                                      <w:spacing w:before="0" w:beforeAutospacing="0" w:after="0" w:afterAutospacing="0"/>
                                      <w:rPr>
                                        <w:rFonts w:ascii="Arial" w:hAnsi="Arial" w:cs="Arial"/>
                                        <w:color w:val="044358"/>
                                      </w:rPr>
                                    </w:pPr>
                                    <w:bookmarkStart w:id="0" w:name="11"/>
                                    <w:proofErr w:type="spellStart"/>
                                    <w:r>
                                      <w:rPr>
                                        <w:rStyle w:val="Strong"/>
                                        <w:rFonts w:ascii="Arial" w:hAnsi="Arial" w:cs="Arial"/>
                                        <w:color w:val="FFFFFF"/>
                                        <w:sz w:val="27"/>
                                        <w:szCs w:val="27"/>
                                      </w:rPr>
                                      <w:t>ProgenyHealth</w:t>
                                    </w:r>
                                    <w:proofErr w:type="spellEnd"/>
                                    <w:r>
                                      <w:rPr>
                                        <w:rStyle w:val="Strong"/>
                                        <w:rFonts w:ascii="Arial" w:hAnsi="Arial" w:cs="Arial"/>
                                        <w:color w:val="FFFFFF"/>
                                        <w:sz w:val="27"/>
                                        <w:szCs w:val="27"/>
                                      </w:rPr>
                                      <w:t xml:space="preserve"> Partnership for NICU UM and CM</w:t>
                                    </w: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p w:rsidR="002D3179" w:rsidRDefault="002D3179">
                                    <w:pPr>
                                      <w:pStyle w:val="NormalWeb"/>
                                      <w:shd w:val="clear" w:color="auto" w:fill="FFFFFF"/>
                                      <w:spacing w:before="0" w:beforeAutospacing="0" w:after="0" w:afterAutospacing="0"/>
                                      <w:rPr>
                                        <w:rFonts w:ascii="Arial" w:hAnsi="Arial" w:cs="Arial"/>
                                        <w:color w:val="000000"/>
                                      </w:rPr>
                                    </w:pPr>
                                    <w:r>
                                      <w:rPr>
                                        <w:rStyle w:val="Emphasis"/>
                                        <w:rFonts w:ascii="Arial" w:hAnsi="Arial" w:cs="Arial"/>
                                        <w:b/>
                                        <w:bCs/>
                                        <w:color w:val="000000"/>
                                      </w:rPr>
                                      <w:t>Information for NICU providers in the Medicaid network</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 xml:space="preserve">Molina Healthcare is happy to announce a partnership with </w:t>
                                    </w:r>
                                    <w:proofErr w:type="spellStart"/>
                                    <w:r>
                                      <w:rPr>
                                        <w:rFonts w:ascii="Arial" w:hAnsi="Arial" w:cs="Arial"/>
                                        <w:color w:val="000000"/>
                                      </w:rPr>
                                      <w:t>ProgenyHealth</w:t>
                                    </w:r>
                                    <w:proofErr w:type="spellEnd"/>
                                    <w:r>
                                      <w:rPr>
                                        <w:rFonts w:ascii="Arial" w:hAnsi="Arial" w:cs="Arial"/>
                                        <w:color w:val="000000"/>
                                      </w:rPr>
                                      <w:t xml:space="preserve">, a company which specializes in Neonatal Intensive Care Unit (NICU) Care Management (CM) services. </w:t>
                                    </w:r>
                                    <w:proofErr w:type="spellStart"/>
                                    <w:r>
                                      <w:rPr>
                                        <w:rFonts w:ascii="Arial" w:hAnsi="Arial" w:cs="Arial"/>
                                        <w:color w:val="000000"/>
                                      </w:rPr>
                                      <w:t>ProgenyHealth’s</w:t>
                                    </w:r>
                                    <w:proofErr w:type="spellEnd"/>
                                    <w:r>
                                      <w:rPr>
                                        <w:rFonts w:ascii="Arial" w:hAnsi="Arial" w:cs="Arial"/>
                                        <w:color w:val="000000"/>
                                      </w:rPr>
                                      <w:t xml:space="preserve"> care management program will enhance services to our members and support our mission to make a lasting difference in our members’ lives by improving their health and well-being. </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 xml:space="preserve">As a reminder, effective Feb. 1, 2022, providers will notify </w:t>
                                    </w:r>
                                    <w:proofErr w:type="spellStart"/>
                                    <w:r>
                                      <w:rPr>
                                        <w:rFonts w:ascii="Arial" w:hAnsi="Arial" w:cs="Arial"/>
                                        <w:color w:val="000000"/>
                                      </w:rPr>
                                      <w:t>ProgenyHealth</w:t>
                                    </w:r>
                                    <w:proofErr w:type="spellEnd"/>
                                    <w:r>
                                      <w:rPr>
                                        <w:rFonts w:ascii="Arial" w:hAnsi="Arial" w:cs="Arial"/>
                                        <w:color w:val="000000"/>
                                      </w:rPr>
                                      <w:t xml:space="preserve"> directly of admissions of infants to a NICU or special care nursery and their clinical staff will contact your designated staff to perform Utilization Management (UM) and discharge planning throughout the inpatient stay.</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New Processes for Initial Reviews and Extenuating Circumstances Pre-Claim within 120 days of discharge:</w:t>
                                    </w:r>
                                  </w:p>
                                  <w:p w:rsidR="002D3179" w:rsidRDefault="002D3179">
                                    <w:pPr>
                                      <w:numPr>
                                        <w:ilvl w:val="0"/>
                                        <w:numId w:val="1"/>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Providers submitting admission authorization requests via fax will use a new </w:t>
                                    </w:r>
                                    <w:proofErr w:type="spellStart"/>
                                    <w:r>
                                      <w:rPr>
                                        <w:rFonts w:ascii="Arial" w:eastAsia="Times New Roman" w:hAnsi="Arial" w:cs="Arial"/>
                                        <w:color w:val="000000"/>
                                      </w:rPr>
                                      <w:t>ProgenyHealth</w:t>
                                    </w:r>
                                    <w:proofErr w:type="spellEnd"/>
                                    <w:r>
                                      <w:rPr>
                                        <w:rFonts w:ascii="Arial" w:eastAsia="Times New Roman" w:hAnsi="Arial" w:cs="Arial"/>
                                        <w:color w:val="000000"/>
                                      </w:rPr>
                                      <w:t xml:space="preserve"> fax number at (866) 519-1259.</w:t>
                                    </w:r>
                                  </w:p>
                                  <w:p w:rsidR="002D3179" w:rsidRDefault="002D3179">
                                    <w:pPr>
                                      <w:numPr>
                                        <w:ilvl w:val="0"/>
                                        <w:numId w:val="1"/>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 xml:space="preserve">Providers who wish to conduct a Peer-to-Peer review will contact </w:t>
                                    </w:r>
                                    <w:proofErr w:type="spellStart"/>
                                    <w:r>
                                      <w:rPr>
                                        <w:rFonts w:ascii="Arial" w:eastAsia="Times New Roman" w:hAnsi="Arial" w:cs="Arial"/>
                                        <w:color w:val="000000"/>
                                      </w:rPr>
                                      <w:t>ProgenyHealth</w:t>
                                    </w:r>
                                    <w:proofErr w:type="spellEnd"/>
                                    <w:r>
                                      <w:rPr>
                                        <w:rFonts w:ascii="Arial" w:eastAsia="Times New Roman" w:hAnsi="Arial" w:cs="Arial"/>
                                        <w:color w:val="000000"/>
                                      </w:rPr>
                                      <w:t xml:space="preserve"> directly at (888) 832-2006.</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Continuing Existing Processes:</w:t>
                                    </w:r>
                                  </w:p>
                                  <w:p w:rsidR="002D3179" w:rsidRDefault="002D3179">
                                    <w:pPr>
                                      <w:numPr>
                                        <w:ilvl w:val="0"/>
                                        <w:numId w:val="2"/>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lastRenderedPageBreak/>
                                      <w:t>There is no process change for admission authorization requests via the Provider Portal.</w:t>
                                    </w:r>
                                  </w:p>
                                  <w:p w:rsidR="002D3179" w:rsidRDefault="002D3179">
                                    <w:pPr>
                                      <w:numPr>
                                        <w:ilvl w:val="0"/>
                                        <w:numId w:val="2"/>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There is no process change for providers who wish to conduct a claim reconsideration. Details on this process can be found in the “Medicaid and Marketplace Authorization and Claim Reconsideration Guide” on the “</w:t>
                                    </w:r>
                                    <w:hyperlink r:id="rId6" w:tgtFrame="_blank" w:history="1">
                                      <w:r>
                                        <w:rPr>
                                          <w:rStyle w:val="Hyperlink"/>
                                          <w:rFonts w:ascii="Arial" w:eastAsia="Times New Roman" w:hAnsi="Arial" w:cs="Arial"/>
                                          <w:color w:val="10B4B9"/>
                                        </w:rPr>
                                        <w:t>Quick Reference Guides &amp; FAQs</w:t>
                                      </w:r>
                                    </w:hyperlink>
                                    <w:r>
                                      <w:rPr>
                                        <w:rFonts w:ascii="Arial" w:eastAsia="Times New Roman" w:hAnsi="Arial" w:cs="Arial"/>
                                        <w:color w:val="000000"/>
                                      </w:rPr>
                                      <w:t xml:space="preserve">” page, under the “Manual” tab on our Provider Website. </w:t>
                                    </w:r>
                                  </w:p>
                                  <w:p w:rsidR="002D3179" w:rsidRDefault="002D3179">
                                    <w:pPr>
                                      <w:pStyle w:val="NormalWeb"/>
                                      <w:shd w:val="clear" w:color="auto" w:fill="FFFFFF"/>
                                      <w:spacing w:before="240" w:beforeAutospacing="0" w:after="0" w:afterAutospacing="0"/>
                                      <w:rPr>
                                        <w:rFonts w:ascii="Arial" w:hAnsi="Arial" w:cs="Arial"/>
                                        <w:color w:val="000000"/>
                                      </w:rPr>
                                    </w:pPr>
                                    <w:r>
                                      <w:rPr>
                                        <w:rStyle w:val="Strong"/>
                                        <w:rFonts w:ascii="Arial" w:hAnsi="Arial" w:cs="Arial"/>
                                        <w:color w:val="000000"/>
                                      </w:rPr>
                                      <w:t>Update Regarding Authorization Reconsiderations:</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 xml:space="preserve">Effective Feb. 21, 2022, the 30-day authorization reconsideration process has been modified to exclude NICU authorizations based on our partnership with </w:t>
                                    </w:r>
                                    <w:proofErr w:type="spellStart"/>
                                    <w:r>
                                      <w:rPr>
                                        <w:rFonts w:ascii="Arial" w:hAnsi="Arial" w:cs="Arial"/>
                                        <w:color w:val="000000"/>
                                      </w:rPr>
                                      <w:t>ProgenyHealth</w:t>
                                    </w:r>
                                    <w:proofErr w:type="spellEnd"/>
                                    <w:r>
                                      <w:rPr>
                                        <w:rFonts w:ascii="Arial" w:hAnsi="Arial" w:cs="Arial"/>
                                        <w:color w:val="000000"/>
                                      </w:rPr>
                                      <w:t xml:space="preserve">. Providers are strongly encouraged to take advantage of </w:t>
                                    </w:r>
                                    <w:proofErr w:type="spellStart"/>
                                    <w:r>
                                      <w:rPr>
                                        <w:rFonts w:ascii="Arial" w:hAnsi="Arial" w:cs="Arial"/>
                                        <w:color w:val="000000"/>
                                      </w:rPr>
                                      <w:t>ProgenyHealth’s</w:t>
                                    </w:r>
                                    <w:proofErr w:type="spellEnd"/>
                                    <w:r>
                                      <w:rPr>
                                        <w:rFonts w:ascii="Arial" w:hAnsi="Arial" w:cs="Arial"/>
                                        <w:color w:val="000000"/>
                                      </w:rPr>
                                      <w:t xml:space="preserve"> streamlined Peer-to-Peer process to hold timely conversations related to NICU cases as needed. </w:t>
                                    </w:r>
                                    <w:proofErr w:type="spellStart"/>
                                    <w:r>
                                      <w:rPr>
                                        <w:rFonts w:ascii="Arial" w:hAnsi="Arial" w:cs="Arial"/>
                                        <w:color w:val="000000"/>
                                      </w:rPr>
                                      <w:t>ProgenyHealth’s</w:t>
                                    </w:r>
                                    <w:proofErr w:type="spellEnd"/>
                                    <w:r>
                                      <w:rPr>
                                        <w:rFonts w:ascii="Arial" w:hAnsi="Arial" w:cs="Arial"/>
                                        <w:color w:val="000000"/>
                                      </w:rPr>
                                      <w:t xml:space="preserve"> specialized team will be working closely with Molina’s NICU providers to ensure receipt of clinical documentation to conduct thorough medical necessity reviews.</w:t>
                                    </w: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500"/>
                                    </w:tblGrid>
                                    <w:tr w:rsidR="002D3179">
                                      <w:trPr>
                                        <w:jc w:val="center"/>
                                      </w:trPr>
                                      <w:tc>
                                        <w:tcPr>
                                          <w:tcW w:w="0" w:type="auto"/>
                                          <w:tcBorders>
                                            <w:top w:val="nil"/>
                                            <w:left w:val="nil"/>
                                            <w:bottom w:val="single" w:sz="6" w:space="0" w:color="10B4B9"/>
                                            <w:right w:val="nil"/>
                                          </w:tcBorders>
                                          <w:vAlign w:val="center"/>
                                          <w:hideMark/>
                                        </w:tcPr>
                                        <w:p w:rsidR="002D3179" w:rsidRDefault="002D3179">
                                          <w:pPr>
                                            <w:spacing w:line="0" w:lineRule="atLeast"/>
                                            <w:rPr>
                                              <w:rFonts w:eastAsia="Times New Roman"/>
                                              <w:sz w:val="2"/>
                                              <w:szCs w:val="2"/>
                                            </w:rPr>
                                          </w:pPr>
                                          <w:r>
                                            <w:rPr>
                                              <w:rFonts w:eastAsia="Times New Roman"/>
                                              <w:sz w:val="2"/>
                                              <w:szCs w:val="2"/>
                                            </w:rPr>
                                            <w:t> </w:t>
                                          </w:r>
                                        </w:p>
                                      </w:tc>
                                    </w:tr>
                                  </w:tbl>
                                  <w:p w:rsidR="002D3179" w:rsidRDefault="002D3179">
                                    <w:pPr>
                                      <w:jc w:val="center"/>
                                      <w:rPr>
                                        <w:rFonts w:eastAsia="Times New Roman"/>
                                        <w:sz w:val="20"/>
                                        <w:szCs w:val="20"/>
                                      </w:rPr>
                                    </w:pP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p w:rsidR="002D3179" w:rsidRDefault="002D3179">
                                    <w:pPr>
                                      <w:pStyle w:val="NormalWeb"/>
                                      <w:shd w:val="clear" w:color="auto" w:fill="10B4B9"/>
                                      <w:spacing w:before="0" w:beforeAutospacing="0" w:after="0" w:afterAutospacing="0"/>
                                      <w:rPr>
                                        <w:rFonts w:ascii="Arial" w:hAnsi="Arial" w:cs="Arial"/>
                                        <w:color w:val="044358"/>
                                      </w:rPr>
                                    </w:pPr>
                                    <w:r>
                                      <w:rPr>
                                        <w:rStyle w:val="Strong"/>
                                        <w:rFonts w:ascii="Arial" w:hAnsi="Arial" w:cs="Arial"/>
                                        <w:color w:val="FFFFFF"/>
                                        <w:sz w:val="27"/>
                                        <w:szCs w:val="27"/>
                                      </w:rPr>
                                      <w:t>Updated: Post-Acute Authorization Requirements</w:t>
                                    </w: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p w:rsidR="002D3179" w:rsidRDefault="002D3179">
                                    <w:pPr>
                                      <w:pStyle w:val="NormalWeb"/>
                                      <w:shd w:val="clear" w:color="auto" w:fill="FFFFFF"/>
                                      <w:spacing w:before="0" w:beforeAutospacing="0" w:after="0" w:afterAutospacing="0"/>
                                      <w:rPr>
                                        <w:rFonts w:ascii="Arial" w:hAnsi="Arial" w:cs="Arial"/>
                                        <w:color w:val="000000"/>
                                      </w:rPr>
                                    </w:pPr>
                                    <w:r>
                                      <w:rPr>
                                        <w:rStyle w:val="Emphasis"/>
                                        <w:rFonts w:ascii="Arial" w:hAnsi="Arial" w:cs="Arial"/>
                                        <w:b/>
                                        <w:bCs/>
                                        <w:color w:val="000000"/>
                                      </w:rPr>
                                      <w:t>Information for Medicare network providers</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Molina has updated the Prior Authorization (PA) waivers grid since the December Provider Bulletin, posted on the Provider Website, under the “Communications” tab, on the “Provider Bulletin” page.</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Please see the updated table below summarizing the underlined changes for the Medicare LOB reinstating the Skilled Nursing Facility (SNF) PA waiver effective Jan. 10, 2022.</w:t>
                                    </w: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tcMar>
                                      <w:top w:w="105" w:type="dxa"/>
                                      <w:left w:w="0" w:type="dxa"/>
                                      <w:bottom w:w="105" w:type="dxa"/>
                                      <w:right w:w="0" w:type="dxa"/>
                                    </w:tcMar>
                                    <w:vAlign w:val="center"/>
                                    <w:hideMark/>
                                  </w:tcPr>
                                  <w:tbl>
                                    <w:tblPr>
                                      <w:tblpPr w:vertAnchor="text"/>
                                      <w:tblW w:w="0" w:type="auto"/>
                                      <w:tblCellMar>
                                        <w:left w:w="0" w:type="dxa"/>
                                        <w:right w:w="0" w:type="dxa"/>
                                      </w:tblCellMar>
                                      <w:tblLook w:val="04A0" w:firstRow="1" w:lastRow="0" w:firstColumn="1" w:lastColumn="0" w:noHBand="0" w:noVBand="1"/>
                                    </w:tblPr>
                                    <w:tblGrid>
                                      <w:gridCol w:w="9120"/>
                                    </w:tblGrid>
                                    <w:tr w:rsidR="002D3179">
                                      <w:tc>
                                        <w:tcPr>
                                          <w:tcW w:w="0" w:type="auto"/>
                                          <w:vAlign w:val="center"/>
                                          <w:hideMark/>
                                        </w:tcPr>
                                        <w:p w:rsidR="002D3179" w:rsidRDefault="002D3179">
                                          <w:pPr>
                                            <w:rPr>
                                              <w:rFonts w:eastAsia="Times New Roman"/>
                                            </w:rPr>
                                          </w:pPr>
                                          <w:r>
                                            <w:rPr>
                                              <w:rFonts w:eastAsia="Times New Roman"/>
                                              <w:noProof/>
                                            </w:rPr>
                                            <w:lastRenderedPageBreak/>
                                            <w:drawing>
                                              <wp:inline distT="0" distB="0" distL="0" distR="0">
                                                <wp:extent cx="5781675" cy="3343275"/>
                                                <wp:effectExtent l="0" t="0" r="9525" b="9525"/>
                                                <wp:docPr id="4" name="Picture 4" descr="https://staticapp.icpsc.com/icp/resources/mogile/1716234/7cbc611c55c238b1e60f0891bd638b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app.icpsc.com/icp/resources/mogile/1716234/7cbc611c55c238b1e60f0891bd638b3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3343275"/>
                                                        </a:xfrm>
                                                        <a:prstGeom prst="rect">
                                                          <a:avLst/>
                                                        </a:prstGeom>
                                                        <a:noFill/>
                                                        <a:ln>
                                                          <a:noFill/>
                                                        </a:ln>
                                                      </pic:spPr>
                                                    </pic:pic>
                                                  </a:graphicData>
                                                </a:graphic>
                                              </wp:inline>
                                            </w:drawing>
                                          </w:r>
                                        </w:p>
                                      </w:tc>
                                    </w:tr>
                                  </w:tbl>
                                  <w:p w:rsidR="002D3179" w:rsidRDefault="002D3179">
                                    <w:pPr>
                                      <w:rPr>
                                        <w:rFonts w:eastAsia="Times New Roman"/>
                                        <w:sz w:val="20"/>
                                        <w:szCs w:val="20"/>
                                      </w:rPr>
                                    </w:pPr>
                                  </w:p>
                                </w:tc>
                              </w:tr>
                              <w:tr w:rsidR="002D3179">
                                <w:tc>
                                  <w:tcPr>
                                    <w:tcW w:w="0" w:type="auto"/>
                                    <w:vAlign w:val="center"/>
                                    <w:hideMark/>
                                  </w:tcPr>
                                  <w:p w:rsidR="002D3179" w:rsidRDefault="002D3179">
                                    <w:pPr>
                                      <w:pStyle w:val="NormalWeb"/>
                                      <w:shd w:val="clear" w:color="auto" w:fill="FFFFFF"/>
                                      <w:spacing w:before="0" w:beforeAutospacing="0" w:after="0" w:afterAutospacing="0"/>
                                      <w:rPr>
                                        <w:rFonts w:ascii="Arial" w:hAnsi="Arial" w:cs="Arial"/>
                                        <w:color w:val="000000"/>
                                      </w:rPr>
                                    </w:pPr>
                                    <w:r>
                                      <w:rPr>
                                        <w:rFonts w:ascii="Arial" w:hAnsi="Arial" w:cs="Arial"/>
                                        <w:color w:val="000000"/>
                                      </w:rPr>
                                      <w:t>Note: Other PA waivers for other lines of business are still in place.</w:t>
                                    </w: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500"/>
                                    </w:tblGrid>
                                    <w:tr w:rsidR="002D3179">
                                      <w:trPr>
                                        <w:jc w:val="center"/>
                                      </w:trPr>
                                      <w:tc>
                                        <w:tcPr>
                                          <w:tcW w:w="0" w:type="auto"/>
                                          <w:tcBorders>
                                            <w:top w:val="nil"/>
                                            <w:left w:val="nil"/>
                                            <w:bottom w:val="single" w:sz="6" w:space="0" w:color="10B4B9"/>
                                            <w:right w:val="nil"/>
                                          </w:tcBorders>
                                          <w:vAlign w:val="center"/>
                                          <w:hideMark/>
                                        </w:tcPr>
                                        <w:p w:rsidR="002D3179" w:rsidRDefault="002D3179">
                                          <w:pPr>
                                            <w:spacing w:line="0" w:lineRule="atLeast"/>
                                            <w:rPr>
                                              <w:rFonts w:eastAsia="Times New Roman"/>
                                              <w:sz w:val="2"/>
                                              <w:szCs w:val="2"/>
                                            </w:rPr>
                                          </w:pPr>
                                          <w:r>
                                            <w:rPr>
                                              <w:rFonts w:eastAsia="Times New Roman"/>
                                              <w:sz w:val="2"/>
                                              <w:szCs w:val="2"/>
                                            </w:rPr>
                                            <w:t> </w:t>
                                          </w:r>
                                        </w:p>
                                      </w:tc>
                                    </w:tr>
                                  </w:tbl>
                                  <w:p w:rsidR="002D3179" w:rsidRDefault="002D3179">
                                    <w:pPr>
                                      <w:jc w:val="center"/>
                                      <w:rPr>
                                        <w:rFonts w:eastAsia="Times New Roman"/>
                                        <w:sz w:val="20"/>
                                        <w:szCs w:val="20"/>
                                      </w:rPr>
                                    </w:pP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p w:rsidR="002D3179" w:rsidRDefault="002D3179">
                                    <w:pPr>
                                      <w:pStyle w:val="NormalWeb"/>
                                      <w:shd w:val="clear" w:color="auto" w:fill="10B4B9"/>
                                      <w:spacing w:before="0" w:beforeAutospacing="0" w:after="0" w:afterAutospacing="0"/>
                                      <w:rPr>
                                        <w:rFonts w:ascii="Arial" w:hAnsi="Arial" w:cs="Arial"/>
                                        <w:color w:val="044358"/>
                                      </w:rPr>
                                    </w:pPr>
                                    <w:r>
                                      <w:rPr>
                                        <w:rStyle w:val="Strong"/>
                                        <w:rFonts w:ascii="Arial" w:hAnsi="Arial" w:cs="Arial"/>
                                        <w:color w:val="FFFFFF"/>
                                        <w:sz w:val="27"/>
                                        <w:szCs w:val="27"/>
                                      </w:rPr>
                                      <w:t>COVID-19: Vaccination Program for 2022</w:t>
                                    </w:r>
                                  </w:p>
                                </w:tc>
                                <w:bookmarkEnd w:id="0"/>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p w:rsidR="002D3179" w:rsidRDefault="002D3179">
                                    <w:pPr>
                                      <w:pStyle w:val="NormalWeb"/>
                                      <w:shd w:val="clear" w:color="auto" w:fill="FFFFFF"/>
                                      <w:spacing w:before="0" w:beforeAutospacing="0" w:after="0" w:afterAutospacing="0"/>
                                      <w:rPr>
                                        <w:rFonts w:ascii="Arial" w:hAnsi="Arial" w:cs="Arial"/>
                                        <w:color w:val="000000"/>
                                      </w:rPr>
                                    </w:pPr>
                                    <w:r>
                                      <w:rPr>
                                        <w:rStyle w:val="Emphasis"/>
                                        <w:rFonts w:ascii="Arial" w:hAnsi="Arial" w:cs="Arial"/>
                                        <w:b/>
                                        <w:bCs/>
                                        <w:color w:val="000000"/>
                                      </w:rPr>
                                      <w:t>Information for all network providers</w:t>
                                    </w:r>
                                  </w:p>
                                  <w:p w:rsidR="002D3179" w:rsidRDefault="002D3179">
                                    <w:pPr>
                                      <w:pStyle w:val="NormalWeb"/>
                                      <w:shd w:val="clear" w:color="auto" w:fill="FFFFFF"/>
                                      <w:spacing w:before="240" w:beforeAutospacing="0" w:after="0" w:afterAutospacing="0"/>
                                      <w:rPr>
                                        <w:rFonts w:ascii="Arial" w:hAnsi="Arial" w:cs="Arial"/>
                                        <w:color w:val="000000"/>
                                      </w:rPr>
                                    </w:pPr>
                                    <w:r>
                                      <w:rPr>
                                        <w:rStyle w:val="Strong"/>
                                        <w:rFonts w:ascii="Arial" w:hAnsi="Arial" w:cs="Arial"/>
                                        <w:color w:val="000000"/>
                                      </w:rPr>
                                      <w:t>Member Gift Card Program</w:t>
                                    </w:r>
                                    <w:r>
                                      <w:rPr>
                                        <w:rFonts w:ascii="Arial" w:hAnsi="Arial" w:cs="Arial"/>
                                        <w:color w:val="000000"/>
                                      </w:rPr>
                                      <w:t>:</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At this time, Molina is extending the member gift card program through June 30, 2022 and will include all members who are 5 years and older.</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Any member aged 5 years and older, who receives their first dose of the COVID-19 (Coronavirus) vaccine will be eligible for the $100 member gift card program.</w:t>
                                    </w:r>
                                  </w:p>
                                  <w:p w:rsidR="002D3179" w:rsidRDefault="002D3179">
                                    <w:pPr>
                                      <w:pStyle w:val="NormalWeb"/>
                                      <w:shd w:val="clear" w:color="auto" w:fill="FFFFFF"/>
                                      <w:spacing w:before="240" w:beforeAutospacing="0" w:after="0" w:afterAutospacing="0"/>
                                      <w:rPr>
                                        <w:rFonts w:ascii="Arial" w:hAnsi="Arial" w:cs="Arial"/>
                                        <w:color w:val="000000"/>
                                      </w:rPr>
                                    </w:pPr>
                                    <w:r>
                                      <w:rPr>
                                        <w:rStyle w:val="Strong"/>
                                        <w:rFonts w:ascii="Arial" w:hAnsi="Arial" w:cs="Arial"/>
                                        <w:color w:val="000000"/>
                                      </w:rPr>
                                      <w:lastRenderedPageBreak/>
                                      <w:t>Increased Provider Administration Fee</w:t>
                                    </w:r>
                                    <w:r>
                                      <w:rPr>
                                        <w:rFonts w:ascii="Arial" w:hAnsi="Arial" w:cs="Arial"/>
                                        <w:color w:val="000000"/>
                                      </w:rPr>
                                      <w:t>:</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 xml:space="preserve">The increased administration fee (any dose for members 5 years and older) will continue to be paid at $100 as part of the provider enhanced reimbursement program for vaccinations for dates of service starting </w:t>
                                    </w:r>
                                    <w:r>
                                      <w:rPr>
                                        <w:rStyle w:val="Strong"/>
                                        <w:rFonts w:ascii="Arial" w:hAnsi="Arial" w:cs="Arial"/>
                                        <w:color w:val="000000"/>
                                      </w:rPr>
                                      <w:t>Nov. 1, 2021 through June 30, 2022.</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Applicable Current Procedural Terminology (CPT) codes include:</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First Dose</w:t>
                                    </w:r>
                                  </w:p>
                                  <w:p w:rsidR="002D3179" w:rsidRDefault="002D3179">
                                    <w:pPr>
                                      <w:numPr>
                                        <w:ilvl w:val="0"/>
                                        <w:numId w:val="3"/>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 xml:space="preserve">0001A: </w:t>
                                    </w:r>
                                    <w:r>
                                      <w:rPr>
                                        <w:rFonts w:ascii="Arial" w:eastAsia="Times New Roman" w:hAnsi="Arial" w:cs="Arial"/>
                                        <w:color w:val="000000"/>
                                      </w:rPr>
                                      <w:t>Pfizer-</w:t>
                                    </w:r>
                                    <w:proofErr w:type="spellStart"/>
                                    <w:r>
                                      <w:rPr>
                                        <w:rFonts w:ascii="Arial" w:eastAsia="Times New Roman" w:hAnsi="Arial" w:cs="Arial"/>
                                        <w:color w:val="000000"/>
                                      </w:rPr>
                                      <w:t>BioNTech</w:t>
                                    </w:r>
                                    <w:proofErr w:type="spellEnd"/>
                                  </w:p>
                                  <w:p w:rsidR="002D3179" w:rsidRDefault="002D3179">
                                    <w:pPr>
                                      <w:numPr>
                                        <w:ilvl w:val="0"/>
                                        <w:numId w:val="3"/>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 xml:space="preserve">0011A: </w:t>
                                    </w:r>
                                    <w:proofErr w:type="spellStart"/>
                                    <w:r>
                                      <w:rPr>
                                        <w:rFonts w:ascii="Arial" w:eastAsia="Times New Roman" w:hAnsi="Arial" w:cs="Arial"/>
                                        <w:color w:val="000000"/>
                                      </w:rPr>
                                      <w:t>Moderna</w:t>
                                    </w:r>
                                    <w:proofErr w:type="spellEnd"/>
                                  </w:p>
                                  <w:p w:rsidR="002D3179" w:rsidRDefault="002D3179">
                                    <w:pPr>
                                      <w:numPr>
                                        <w:ilvl w:val="0"/>
                                        <w:numId w:val="3"/>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 xml:space="preserve">0031A: </w:t>
                                    </w:r>
                                    <w:r>
                                      <w:rPr>
                                        <w:rFonts w:ascii="Arial" w:eastAsia="Times New Roman" w:hAnsi="Arial" w:cs="Arial"/>
                                        <w:color w:val="000000"/>
                                      </w:rPr>
                                      <w:t>Johnson &amp; Johnson’s Janssen</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Second Dose</w:t>
                                    </w:r>
                                  </w:p>
                                  <w:p w:rsidR="002D3179" w:rsidRDefault="002D3179">
                                    <w:pPr>
                                      <w:numPr>
                                        <w:ilvl w:val="0"/>
                                        <w:numId w:val="4"/>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 xml:space="preserve">0002A: </w:t>
                                    </w:r>
                                    <w:r>
                                      <w:rPr>
                                        <w:rFonts w:ascii="Arial" w:eastAsia="Times New Roman" w:hAnsi="Arial" w:cs="Arial"/>
                                        <w:color w:val="000000"/>
                                      </w:rPr>
                                      <w:t>Pfizer-</w:t>
                                    </w:r>
                                    <w:proofErr w:type="spellStart"/>
                                    <w:r>
                                      <w:rPr>
                                        <w:rFonts w:ascii="Arial" w:eastAsia="Times New Roman" w:hAnsi="Arial" w:cs="Arial"/>
                                        <w:color w:val="000000"/>
                                      </w:rPr>
                                      <w:t>BioNTech</w:t>
                                    </w:r>
                                    <w:proofErr w:type="spellEnd"/>
                                  </w:p>
                                  <w:p w:rsidR="002D3179" w:rsidRDefault="002D3179">
                                    <w:pPr>
                                      <w:numPr>
                                        <w:ilvl w:val="0"/>
                                        <w:numId w:val="4"/>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 xml:space="preserve">0012A: </w:t>
                                    </w:r>
                                    <w:proofErr w:type="spellStart"/>
                                    <w:r>
                                      <w:rPr>
                                        <w:rFonts w:ascii="Arial" w:eastAsia="Times New Roman" w:hAnsi="Arial" w:cs="Arial"/>
                                        <w:color w:val="000000"/>
                                      </w:rPr>
                                      <w:t>Moderna</w:t>
                                    </w:r>
                                    <w:proofErr w:type="spellEnd"/>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Third Dose</w:t>
                                    </w:r>
                                  </w:p>
                                  <w:p w:rsidR="002D3179" w:rsidRDefault="002D3179">
                                    <w:pPr>
                                      <w:numPr>
                                        <w:ilvl w:val="0"/>
                                        <w:numId w:val="5"/>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0003A</w:t>
                                    </w:r>
                                    <w:r>
                                      <w:rPr>
                                        <w:rFonts w:ascii="Arial" w:eastAsia="Times New Roman" w:hAnsi="Arial" w:cs="Arial"/>
                                        <w:color w:val="000000"/>
                                      </w:rPr>
                                      <w:t>: Pfizer-</w:t>
                                    </w:r>
                                    <w:proofErr w:type="spellStart"/>
                                    <w:r>
                                      <w:rPr>
                                        <w:rFonts w:ascii="Arial" w:eastAsia="Times New Roman" w:hAnsi="Arial" w:cs="Arial"/>
                                        <w:color w:val="000000"/>
                                      </w:rPr>
                                      <w:t>BioNTech</w:t>
                                    </w:r>
                                    <w:proofErr w:type="spellEnd"/>
                                  </w:p>
                                  <w:p w:rsidR="002D3179" w:rsidRDefault="002D3179">
                                    <w:pPr>
                                      <w:numPr>
                                        <w:ilvl w:val="0"/>
                                        <w:numId w:val="5"/>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0013A</w:t>
                                    </w:r>
                                    <w:r>
                                      <w:rPr>
                                        <w:rFonts w:ascii="Arial" w:eastAsia="Times New Roman" w:hAnsi="Arial" w:cs="Arial"/>
                                        <w:color w:val="000000"/>
                                      </w:rPr>
                                      <w:t xml:space="preserve">: </w:t>
                                    </w:r>
                                    <w:proofErr w:type="spellStart"/>
                                    <w:r>
                                      <w:rPr>
                                        <w:rFonts w:ascii="Arial" w:eastAsia="Times New Roman" w:hAnsi="Arial" w:cs="Arial"/>
                                        <w:color w:val="000000"/>
                                      </w:rPr>
                                      <w:t>Moderna</w:t>
                                    </w:r>
                                    <w:proofErr w:type="spellEnd"/>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Booster</w:t>
                                    </w:r>
                                  </w:p>
                                  <w:p w:rsidR="002D3179" w:rsidRDefault="002D3179">
                                    <w:pPr>
                                      <w:numPr>
                                        <w:ilvl w:val="0"/>
                                        <w:numId w:val="6"/>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 xml:space="preserve">0004A: </w:t>
                                    </w:r>
                                    <w:r>
                                      <w:rPr>
                                        <w:rFonts w:ascii="Arial" w:eastAsia="Times New Roman" w:hAnsi="Arial" w:cs="Arial"/>
                                        <w:color w:val="000000"/>
                                      </w:rPr>
                                      <w:t>Pfizer-</w:t>
                                    </w:r>
                                    <w:proofErr w:type="spellStart"/>
                                    <w:r>
                                      <w:rPr>
                                        <w:rFonts w:ascii="Arial" w:eastAsia="Times New Roman" w:hAnsi="Arial" w:cs="Arial"/>
                                        <w:color w:val="000000"/>
                                      </w:rPr>
                                      <w:t>BioNTech</w:t>
                                    </w:r>
                                    <w:proofErr w:type="spellEnd"/>
                                  </w:p>
                                  <w:p w:rsidR="002D3179" w:rsidRDefault="002D3179">
                                    <w:pPr>
                                      <w:numPr>
                                        <w:ilvl w:val="0"/>
                                        <w:numId w:val="6"/>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 xml:space="preserve">0064A: </w:t>
                                    </w:r>
                                    <w:proofErr w:type="spellStart"/>
                                    <w:r>
                                      <w:rPr>
                                        <w:rFonts w:ascii="Arial" w:eastAsia="Times New Roman" w:hAnsi="Arial" w:cs="Arial"/>
                                        <w:color w:val="000000"/>
                                      </w:rPr>
                                      <w:t>Moderna</w:t>
                                    </w:r>
                                    <w:proofErr w:type="spellEnd"/>
                                  </w:p>
                                  <w:p w:rsidR="002D3179" w:rsidRDefault="002D3179">
                                    <w:pPr>
                                      <w:numPr>
                                        <w:ilvl w:val="0"/>
                                        <w:numId w:val="6"/>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 xml:space="preserve">0034A: </w:t>
                                    </w:r>
                                    <w:r>
                                      <w:rPr>
                                        <w:rFonts w:ascii="Arial" w:eastAsia="Times New Roman" w:hAnsi="Arial" w:cs="Arial"/>
                                        <w:color w:val="000000"/>
                                      </w:rPr>
                                      <w:t>Johnson &amp; Johnson’s Janssen </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CPT codes for pediatric billing (children ages 5-11, only): </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lastRenderedPageBreak/>
                                      <w:t>First Dose</w:t>
                                    </w:r>
                                  </w:p>
                                  <w:p w:rsidR="002D3179" w:rsidRDefault="002D3179">
                                    <w:pPr>
                                      <w:numPr>
                                        <w:ilvl w:val="0"/>
                                        <w:numId w:val="7"/>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 xml:space="preserve">0071A : </w:t>
                                    </w:r>
                                    <w:r>
                                      <w:rPr>
                                        <w:rFonts w:ascii="Arial" w:eastAsia="Times New Roman" w:hAnsi="Arial" w:cs="Arial"/>
                                        <w:color w:val="000000"/>
                                      </w:rPr>
                                      <w:t>Pfizer-</w:t>
                                    </w:r>
                                    <w:proofErr w:type="spellStart"/>
                                    <w:r>
                                      <w:rPr>
                                        <w:rFonts w:ascii="Arial" w:eastAsia="Times New Roman" w:hAnsi="Arial" w:cs="Arial"/>
                                        <w:color w:val="000000"/>
                                      </w:rPr>
                                      <w:t>BioNTech</w:t>
                                    </w:r>
                                    <w:proofErr w:type="spellEnd"/>
                                    <w:r>
                                      <w:rPr>
                                        <w:rStyle w:val="Strong"/>
                                        <w:rFonts w:ascii="Arial" w:eastAsia="Times New Roman" w:hAnsi="Arial" w:cs="Arial"/>
                                        <w:color w:val="000000"/>
                                      </w:rPr>
                                      <w:t xml:space="preserve"> </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Second Dose</w:t>
                                    </w:r>
                                  </w:p>
                                  <w:p w:rsidR="002D3179" w:rsidRDefault="002D3179">
                                    <w:pPr>
                                      <w:numPr>
                                        <w:ilvl w:val="0"/>
                                        <w:numId w:val="8"/>
                                      </w:numPr>
                                      <w:shd w:val="clear" w:color="auto" w:fill="FFFFFF"/>
                                      <w:spacing w:before="100" w:beforeAutospacing="1" w:after="100" w:afterAutospacing="1"/>
                                      <w:rPr>
                                        <w:rFonts w:ascii="Arial" w:eastAsia="Times New Roman" w:hAnsi="Arial" w:cs="Arial"/>
                                        <w:color w:val="000000"/>
                                      </w:rPr>
                                    </w:pPr>
                                    <w:r>
                                      <w:rPr>
                                        <w:rStyle w:val="Strong"/>
                                        <w:rFonts w:ascii="Arial" w:eastAsia="Times New Roman" w:hAnsi="Arial" w:cs="Arial"/>
                                        <w:color w:val="000000"/>
                                      </w:rPr>
                                      <w:t xml:space="preserve">0072A: </w:t>
                                    </w:r>
                                    <w:r>
                                      <w:rPr>
                                        <w:rFonts w:ascii="Arial" w:eastAsia="Times New Roman" w:hAnsi="Arial" w:cs="Arial"/>
                                        <w:color w:val="000000"/>
                                      </w:rPr>
                                      <w:t>Pfizer-</w:t>
                                    </w:r>
                                    <w:proofErr w:type="spellStart"/>
                                    <w:r>
                                      <w:rPr>
                                        <w:rFonts w:ascii="Arial" w:eastAsia="Times New Roman" w:hAnsi="Arial" w:cs="Arial"/>
                                        <w:color w:val="000000"/>
                                      </w:rPr>
                                      <w:t>BioNTech</w:t>
                                    </w:r>
                                    <w:proofErr w:type="spellEnd"/>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 xml:space="preserve">For extensive CPT billing guidelines, visit </w:t>
                                    </w:r>
                                    <w:hyperlink r:id="rId8" w:tgtFrame="_blank" w:history="1">
                                      <w:r>
                                        <w:rPr>
                                          <w:rStyle w:val="Hyperlink"/>
                                          <w:rFonts w:ascii="Arial" w:hAnsi="Arial" w:cs="Arial"/>
                                          <w:color w:val="10B4B9"/>
                                        </w:rPr>
                                        <w:t>cms.gov</w:t>
                                      </w:r>
                                    </w:hyperlink>
                                    <w:r>
                                      <w:rPr>
                                        <w:rFonts w:ascii="Arial" w:hAnsi="Arial" w:cs="Arial"/>
                                        <w:color w:val="000000"/>
                                      </w:rPr>
                                      <w:t xml:space="preserve"> and under “Medicare” select “Medicare Part B Drug Average Sales Price,” then “</w:t>
                                    </w:r>
                                    <w:hyperlink r:id="rId9" w:tgtFrame="_blank" w:history="1">
                                      <w:r>
                                        <w:rPr>
                                          <w:rStyle w:val="Hyperlink"/>
                                          <w:rFonts w:ascii="Arial" w:hAnsi="Arial" w:cs="Arial"/>
                                          <w:color w:val="10B4B9"/>
                                        </w:rPr>
                                        <w:t>COVID-19 Vaccines and Monoclonal Antibodies</w:t>
                                      </w:r>
                                    </w:hyperlink>
                                    <w:r>
                                      <w:rPr>
                                        <w:rFonts w:ascii="Arial" w:hAnsi="Arial" w:cs="Arial"/>
                                        <w:color w:val="000000"/>
                                      </w:rPr>
                                      <w:t>.”</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 xml:space="preserve">The increase of the administration fee includes all professional claims. Federally Qualified Health Clinics (FQHCs), Rural Health Clinics (RHCs) and Qualified Family Planning Providers (QFPP) are also included in the administration fee increase and will be paid following the same reimbursement process as given in the June 2021 </w:t>
                                    </w:r>
                                    <w:hyperlink r:id="rId10" w:tgtFrame="_blank" w:history="1">
                                      <w:r>
                                        <w:rPr>
                                          <w:rStyle w:val="Hyperlink"/>
                                          <w:rFonts w:ascii="Arial" w:hAnsi="Arial" w:cs="Arial"/>
                                          <w:color w:val="10B4B9"/>
                                        </w:rPr>
                                        <w:t>COVID-19: FQHC, QFPP and RHC Provider Vaccine Administration Fee Increase Provider Bulletin</w:t>
                                      </w:r>
                                    </w:hyperlink>
                                    <w:r>
                                      <w:rPr>
                                        <w:rFonts w:ascii="Arial" w:hAnsi="Arial" w:cs="Arial"/>
                                        <w:color w:val="000000"/>
                                      </w:rPr>
                                      <w:t>. However, it does not apply to the following providers and/or claims:</w:t>
                                    </w:r>
                                  </w:p>
                                  <w:p w:rsidR="002D3179" w:rsidRDefault="002D3179">
                                    <w:pPr>
                                      <w:numPr>
                                        <w:ilvl w:val="0"/>
                                        <w:numId w:val="9"/>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Hospitals</w:t>
                                    </w:r>
                                  </w:p>
                                  <w:p w:rsidR="002D3179" w:rsidRDefault="002D3179">
                                    <w:pPr>
                                      <w:numPr>
                                        <w:ilvl w:val="0"/>
                                        <w:numId w:val="9"/>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Emergency Rooms</w:t>
                                    </w:r>
                                  </w:p>
                                  <w:p w:rsidR="002D3179" w:rsidRDefault="002D3179">
                                    <w:pPr>
                                      <w:numPr>
                                        <w:ilvl w:val="0"/>
                                        <w:numId w:val="9"/>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Hospital Clinics</w:t>
                                    </w:r>
                                  </w:p>
                                  <w:p w:rsidR="002D3179" w:rsidRDefault="002D3179">
                                    <w:pPr>
                                      <w:numPr>
                                        <w:ilvl w:val="0"/>
                                        <w:numId w:val="9"/>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Pharmacies</w:t>
                                    </w:r>
                                  </w:p>
                                  <w:p w:rsidR="002D3179" w:rsidRDefault="002D3179">
                                    <w:pPr>
                                      <w:numPr>
                                        <w:ilvl w:val="0"/>
                                        <w:numId w:val="9"/>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Dialysis Centers</w:t>
                                    </w:r>
                                  </w:p>
                                  <w:p w:rsidR="002D3179" w:rsidRDefault="002D3179">
                                    <w:pPr>
                                      <w:numPr>
                                        <w:ilvl w:val="0"/>
                                        <w:numId w:val="9"/>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Ambulatory Surgery Centers (ASC)</w:t>
                                    </w:r>
                                  </w:p>
                                  <w:p w:rsidR="002D3179" w:rsidRDefault="002D3179">
                                    <w:pPr>
                                      <w:numPr>
                                        <w:ilvl w:val="0"/>
                                        <w:numId w:val="9"/>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Skilled Nursing Facility (SNF) claims</w:t>
                                    </w:r>
                                  </w:p>
                                  <w:p w:rsidR="002D3179" w:rsidRDefault="002D3179">
                                    <w:pPr>
                                      <w:numPr>
                                        <w:ilvl w:val="0"/>
                                        <w:numId w:val="9"/>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Long-Term Acute Care (LTAC) claims</w:t>
                                    </w:r>
                                  </w:p>
                                  <w:p w:rsidR="002D3179" w:rsidRDefault="002D3179">
                                    <w:pPr>
                                      <w:numPr>
                                        <w:ilvl w:val="0"/>
                                        <w:numId w:val="9"/>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Enhanced Ambulatory Patient Grouping (EAPG) and Diagnosis Related Group (DRG) claims</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Payments will be notated by the following Claim Adjustment Reason Code (CARC) and Remittance Advice Remark Code (RARC) codes:</w:t>
                                    </w:r>
                                  </w:p>
                                  <w:p w:rsidR="002D3179" w:rsidRDefault="002D3179">
                                    <w:pPr>
                                      <w:numPr>
                                        <w:ilvl w:val="0"/>
                                        <w:numId w:val="10"/>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lastRenderedPageBreak/>
                                      <w:t>CARC code: 144 – incentive adjustment (e.g. preferred product/service)</w:t>
                                    </w:r>
                                  </w:p>
                                  <w:p w:rsidR="002D3179" w:rsidRDefault="002D3179">
                                    <w:pPr>
                                      <w:numPr>
                                        <w:ilvl w:val="0"/>
                                        <w:numId w:val="10"/>
                                      </w:numPr>
                                      <w:shd w:val="clear" w:color="auto" w:fill="FFFFFF"/>
                                      <w:spacing w:before="100" w:beforeAutospacing="1" w:after="100" w:afterAutospacing="1"/>
                                      <w:rPr>
                                        <w:rFonts w:ascii="Arial" w:eastAsia="Times New Roman" w:hAnsi="Arial" w:cs="Arial"/>
                                        <w:color w:val="000000"/>
                                      </w:rPr>
                                    </w:pPr>
                                    <w:r>
                                      <w:rPr>
                                        <w:rFonts w:ascii="Arial" w:eastAsia="Times New Roman" w:hAnsi="Arial" w:cs="Arial"/>
                                        <w:color w:val="000000"/>
                                      </w:rPr>
                                      <w:t>RARC code</w:t>
                                    </w:r>
                                    <w:r>
                                      <w:rPr>
                                        <w:rStyle w:val="Strong"/>
                                        <w:rFonts w:ascii="Arial" w:eastAsia="Times New Roman" w:hAnsi="Arial" w:cs="Arial"/>
                                        <w:color w:val="000000"/>
                                      </w:rPr>
                                      <w:t>:</w:t>
                                    </w:r>
                                    <w:r>
                                      <w:rPr>
                                        <w:rFonts w:ascii="Arial" w:eastAsia="Times New Roman" w:hAnsi="Arial" w:cs="Arial"/>
                                        <w:color w:val="000000"/>
                                      </w:rPr>
                                      <w:t xml:space="preserve"> MA125 – per legislation governing this program, payment constitutes payment in full</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 xml:space="preserve">Please note that while it is not required, we encourage you to bill the vaccine and the administration code together for reporting purposes. You will need to bill one vaccine code and one administration code per dose of the vaccine administered. </w:t>
                                    </w:r>
                                    <w:r>
                                      <w:rPr>
                                        <w:rStyle w:val="Strong"/>
                                        <w:rFonts w:ascii="Arial" w:hAnsi="Arial" w:cs="Arial"/>
                                        <w:color w:val="000000"/>
                                      </w:rPr>
                                      <w:t>At this time, there will be no reimbursement for the vaccine, only the administration fee.</w:t>
                                    </w:r>
                                  </w:p>
                                  <w:p w:rsidR="002D3179" w:rsidRDefault="002D3179">
                                    <w:pPr>
                                      <w:pStyle w:val="NormalWeb"/>
                                      <w:shd w:val="clear" w:color="auto" w:fill="FFFFFF"/>
                                      <w:spacing w:before="240" w:beforeAutospacing="0" w:after="0" w:afterAutospacing="0"/>
                                      <w:rPr>
                                        <w:rFonts w:ascii="Arial" w:hAnsi="Arial" w:cs="Arial"/>
                                        <w:color w:val="000000"/>
                                      </w:rPr>
                                    </w:pPr>
                                    <w:r>
                                      <w:rPr>
                                        <w:rStyle w:val="Strong"/>
                                        <w:rFonts w:ascii="Arial" w:hAnsi="Arial" w:cs="Arial"/>
                                        <w:color w:val="000000"/>
                                      </w:rPr>
                                      <w:t>Providers will have until Oct. 1, 2022 to submit claims for administration of the vaccine to receive the bonus payment.</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 xml:space="preserve">To promote the vaccine and incentive to your patients, refer to the Vax on the Spot website at </w:t>
                                    </w:r>
                                    <w:hyperlink r:id="rId11" w:tgtFrame="_blank" w:history="1">
                                      <w:r>
                                        <w:rPr>
                                          <w:rStyle w:val="Hyperlink"/>
                                          <w:rFonts w:ascii="Arial" w:hAnsi="Arial" w:cs="Arial"/>
                                          <w:color w:val="10B4B9"/>
                                        </w:rPr>
                                        <w:t>covidvaxonthespot.com</w:t>
                                      </w:r>
                                    </w:hyperlink>
                                    <w:r>
                                      <w:rPr>
                                        <w:rFonts w:ascii="Arial" w:hAnsi="Arial" w:cs="Arial"/>
                                        <w:color w:val="000000"/>
                                      </w:rPr>
                                      <w:t xml:space="preserve">, or view the Vax on the Spot video at </w:t>
                                    </w:r>
                                    <w:hyperlink r:id="rId12" w:tgtFrame="_blank" w:history="1">
                                      <w:r>
                                        <w:rPr>
                                          <w:rStyle w:val="Hyperlink"/>
                                          <w:rFonts w:ascii="Arial" w:hAnsi="Arial" w:cs="Arial"/>
                                          <w:color w:val="10B4B9"/>
                                        </w:rPr>
                                        <w:t>youtube.com/</w:t>
                                      </w:r>
                                      <w:proofErr w:type="spellStart"/>
                                      <w:r>
                                        <w:rPr>
                                          <w:rStyle w:val="Hyperlink"/>
                                          <w:rFonts w:ascii="Arial" w:hAnsi="Arial" w:cs="Arial"/>
                                          <w:color w:val="10B4B9"/>
                                        </w:rPr>
                                        <w:t>watch?v</w:t>
                                      </w:r>
                                      <w:proofErr w:type="spellEnd"/>
                                      <w:r>
                                        <w:rPr>
                                          <w:rStyle w:val="Hyperlink"/>
                                          <w:rFonts w:ascii="Arial" w:hAnsi="Arial" w:cs="Arial"/>
                                          <w:color w:val="10B4B9"/>
                                        </w:rPr>
                                        <w:t>=l9n5R-69h6E</w:t>
                                      </w:r>
                                    </w:hyperlink>
                                    <w:r>
                                      <w:rPr>
                                        <w:rFonts w:ascii="Arial" w:hAnsi="Arial" w:cs="Arial"/>
                                        <w:color w:val="000000"/>
                                      </w:rPr>
                                      <w:t xml:space="preserve"> to learn more about the Vax on the Spot initiative.</w:t>
                                    </w:r>
                                  </w:p>
                                  <w:p w:rsidR="002D3179" w:rsidRDefault="002D3179">
                                    <w:pPr>
                                      <w:pStyle w:val="NormalWeb"/>
                                      <w:shd w:val="clear" w:color="auto" w:fill="FFFFFF"/>
                                      <w:spacing w:before="240" w:beforeAutospacing="0" w:after="0" w:afterAutospacing="0"/>
                                      <w:rPr>
                                        <w:rFonts w:ascii="Arial" w:hAnsi="Arial" w:cs="Arial"/>
                                        <w:color w:val="000000"/>
                                      </w:rPr>
                                    </w:pPr>
                                    <w:r>
                                      <w:rPr>
                                        <w:rFonts w:ascii="Arial" w:hAnsi="Arial" w:cs="Arial"/>
                                        <w:color w:val="000000"/>
                                      </w:rPr>
                                      <w:t>For questions, please reach out to the Provider Services Team.</w:t>
                                    </w: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500"/>
                                    </w:tblGrid>
                                    <w:tr w:rsidR="002D3179">
                                      <w:trPr>
                                        <w:jc w:val="center"/>
                                      </w:trPr>
                                      <w:tc>
                                        <w:tcPr>
                                          <w:tcW w:w="0" w:type="auto"/>
                                          <w:tcBorders>
                                            <w:top w:val="nil"/>
                                            <w:left w:val="nil"/>
                                            <w:bottom w:val="single" w:sz="6" w:space="0" w:color="10B4B9"/>
                                            <w:right w:val="nil"/>
                                          </w:tcBorders>
                                          <w:vAlign w:val="center"/>
                                          <w:hideMark/>
                                        </w:tcPr>
                                        <w:p w:rsidR="002D3179" w:rsidRDefault="002D3179">
                                          <w:pPr>
                                            <w:spacing w:line="0" w:lineRule="atLeast"/>
                                            <w:rPr>
                                              <w:rFonts w:eastAsia="Times New Roman"/>
                                              <w:sz w:val="2"/>
                                              <w:szCs w:val="2"/>
                                            </w:rPr>
                                          </w:pPr>
                                          <w:r>
                                            <w:rPr>
                                              <w:rFonts w:eastAsia="Times New Roman"/>
                                              <w:sz w:val="2"/>
                                              <w:szCs w:val="2"/>
                                            </w:rPr>
                                            <w:t> </w:t>
                                          </w:r>
                                        </w:p>
                                      </w:tc>
                                    </w:tr>
                                  </w:tbl>
                                  <w:p w:rsidR="002D3179" w:rsidRDefault="002D3179">
                                    <w:pPr>
                                      <w:jc w:val="center"/>
                                      <w:rPr>
                                        <w:rFonts w:eastAsia="Times New Roman"/>
                                        <w:sz w:val="20"/>
                                        <w:szCs w:val="20"/>
                                      </w:rPr>
                                    </w:pPr>
                                  </w:p>
                                </w:tc>
                              </w:tr>
                            </w:tbl>
                            <w:p w:rsidR="002D3179" w:rsidRDefault="002D3179">
                              <w:pPr>
                                <w:rPr>
                                  <w:rFonts w:eastAsia="Times New Roman"/>
                                  <w:sz w:val="20"/>
                                  <w:szCs w:val="20"/>
                                </w:rPr>
                              </w:pPr>
                            </w:p>
                          </w:tc>
                        </w:tr>
                      </w:tbl>
                      <w:p w:rsidR="002D3179" w:rsidRDefault="002D3179">
                        <w:pPr>
                          <w:rPr>
                            <w:rFonts w:eastAsia="Times New Roman"/>
                            <w:sz w:val="20"/>
                            <w:szCs w:val="20"/>
                          </w:rPr>
                        </w:pPr>
                      </w:p>
                    </w:tc>
                  </w:tr>
                </w:tbl>
                <w:p w:rsidR="002D3179" w:rsidRDefault="002D3179">
                  <w:pPr>
                    <w:jc w:val="center"/>
                    <w:rPr>
                      <w:rFonts w:eastAsia="Times New Roman"/>
                      <w:sz w:val="20"/>
                      <w:szCs w:val="20"/>
                    </w:rPr>
                  </w:pPr>
                </w:p>
              </w:tc>
            </w:tr>
          </w:tbl>
          <w:p w:rsidR="002D3179" w:rsidRDefault="002D3179">
            <w:pPr>
              <w:rPr>
                <w:rFonts w:ascii="Arial" w:eastAsia="Times New Roman" w:hAnsi="Arial" w:cs="Arial"/>
                <w:vanish/>
              </w:rPr>
            </w:pPr>
          </w:p>
          <w:tbl>
            <w:tblPr>
              <w:tblW w:w="5000" w:type="pct"/>
              <w:tblCellMar>
                <w:left w:w="0" w:type="dxa"/>
                <w:right w:w="0" w:type="dxa"/>
              </w:tblCellMar>
              <w:tblLook w:val="04A0" w:firstRow="1" w:lastRow="0" w:firstColumn="1" w:lastColumn="0" w:noHBand="0" w:noVBand="1"/>
            </w:tblPr>
            <w:tblGrid>
              <w:gridCol w:w="12960"/>
            </w:tblGrid>
            <w:tr w:rsidR="002D3179">
              <w:tc>
                <w:tcPr>
                  <w:tcW w:w="5000" w:type="pct"/>
                  <w:hideMark/>
                </w:tcPr>
                <w:tbl>
                  <w:tblPr>
                    <w:tblW w:w="10500" w:type="dxa"/>
                    <w:jc w:val="center"/>
                    <w:shd w:val="clear" w:color="auto" w:fill="11B5BB"/>
                    <w:tblCellMar>
                      <w:left w:w="0" w:type="dxa"/>
                      <w:right w:w="0" w:type="dxa"/>
                    </w:tblCellMar>
                    <w:tblLook w:val="04A0" w:firstRow="1" w:lastRow="0" w:firstColumn="1" w:lastColumn="0" w:noHBand="0" w:noVBand="1"/>
                  </w:tblPr>
                  <w:tblGrid>
                    <w:gridCol w:w="10500"/>
                  </w:tblGrid>
                  <w:tr w:rsidR="002D3179">
                    <w:trPr>
                      <w:jc w:val="center"/>
                    </w:trPr>
                    <w:tc>
                      <w:tcPr>
                        <w:tcW w:w="0" w:type="auto"/>
                        <w:shd w:val="clear" w:color="auto" w:fill="11B5BB"/>
                        <w:vAlign w:val="center"/>
                        <w:hideMark/>
                      </w:tcPr>
                      <w:tbl>
                        <w:tblPr>
                          <w:tblW w:w="5000" w:type="pct"/>
                          <w:tblCellMar>
                            <w:left w:w="0" w:type="dxa"/>
                            <w:right w:w="0" w:type="dxa"/>
                          </w:tblCellMar>
                          <w:tblLook w:val="04A0" w:firstRow="1" w:lastRow="0" w:firstColumn="1" w:lastColumn="0" w:noHBand="0" w:noVBand="1"/>
                        </w:tblPr>
                        <w:tblGrid>
                          <w:gridCol w:w="10500"/>
                        </w:tblGrid>
                        <w:tr w:rsidR="002D3179">
                          <w:tc>
                            <w:tcPr>
                              <w:tcW w:w="10500" w:type="dxa"/>
                            </w:tcPr>
                            <w:tbl>
                              <w:tblPr>
                                <w:tblW w:w="5000" w:type="pct"/>
                                <w:tblCellMar>
                                  <w:left w:w="0" w:type="dxa"/>
                                  <w:right w:w="0" w:type="dxa"/>
                                </w:tblCellMar>
                                <w:tblLook w:val="04A0" w:firstRow="1" w:lastRow="0" w:firstColumn="1" w:lastColumn="0" w:noHBand="0" w:noVBand="1"/>
                              </w:tblPr>
                              <w:tblGrid>
                                <w:gridCol w:w="10500"/>
                              </w:tblGrid>
                              <w:tr w:rsidR="002D3179">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500"/>
                                    </w:tblGrid>
                                    <w:tr w:rsidR="002D3179">
                                      <w:trPr>
                                        <w:jc w:val="center"/>
                                      </w:trPr>
                                      <w:tc>
                                        <w:tcPr>
                                          <w:tcW w:w="0" w:type="auto"/>
                                          <w:tcBorders>
                                            <w:top w:val="nil"/>
                                            <w:left w:val="nil"/>
                                            <w:bottom w:val="single" w:sz="6" w:space="0" w:color="FFFFFF"/>
                                            <w:right w:val="nil"/>
                                          </w:tcBorders>
                                          <w:vAlign w:val="center"/>
                                          <w:hideMark/>
                                        </w:tcPr>
                                        <w:p w:rsidR="002D3179" w:rsidRDefault="002D3179">
                                          <w:pPr>
                                            <w:spacing w:line="0" w:lineRule="atLeast"/>
                                            <w:rPr>
                                              <w:rFonts w:eastAsia="Times New Roman"/>
                                              <w:sz w:val="2"/>
                                              <w:szCs w:val="2"/>
                                            </w:rPr>
                                          </w:pPr>
                                          <w:r>
                                            <w:rPr>
                                              <w:rFonts w:eastAsia="Times New Roman"/>
                                              <w:sz w:val="2"/>
                                              <w:szCs w:val="2"/>
                                            </w:rPr>
                                            <w:t> </w:t>
                                          </w:r>
                                        </w:p>
                                      </w:tc>
                                    </w:tr>
                                  </w:tbl>
                                  <w:p w:rsidR="002D3179" w:rsidRDefault="002D3179">
                                    <w:pPr>
                                      <w:jc w:val="center"/>
                                      <w:rPr>
                                        <w:rFonts w:eastAsia="Times New Roman"/>
                                        <w:sz w:val="20"/>
                                        <w:szCs w:val="20"/>
                                      </w:rPr>
                                    </w:pP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p w:rsidR="002D3179" w:rsidRDefault="002D3179">
                                    <w:pPr>
                                      <w:pStyle w:val="NormalWeb"/>
                                      <w:spacing w:before="0" w:beforeAutospacing="0" w:after="0" w:afterAutospacing="0"/>
                                      <w:rPr>
                                        <w:rFonts w:ascii="Arial" w:hAnsi="Arial" w:cs="Arial"/>
                                        <w:color w:val="000000"/>
                                      </w:rPr>
                                    </w:pPr>
                                    <w:r>
                                      <w:rPr>
                                        <w:rStyle w:val="Strong"/>
                                        <w:rFonts w:ascii="Arial" w:hAnsi="Arial" w:cs="Arial"/>
                                        <w:color w:val="FFFFFF"/>
                                      </w:rPr>
                                      <w:t>Questions?</w:t>
                                    </w:r>
                                  </w:p>
                                  <w:p w:rsidR="002D3179" w:rsidRDefault="002D3179">
                                    <w:pPr>
                                      <w:pStyle w:val="NormalWeb"/>
                                      <w:spacing w:before="240" w:beforeAutospacing="0" w:after="0" w:afterAutospacing="0"/>
                                      <w:rPr>
                                        <w:rFonts w:ascii="Arial" w:hAnsi="Arial" w:cs="Arial"/>
                                        <w:color w:val="000000"/>
                                      </w:rPr>
                                    </w:pPr>
                                    <w:r>
                                      <w:rPr>
                                        <w:rFonts w:ascii="Arial" w:hAnsi="Arial" w:cs="Arial"/>
                                        <w:color w:val="FFFFFF"/>
                                      </w:rPr>
                                      <w:t>Provider Services - (855) 322-4079</w:t>
                                    </w:r>
                                  </w:p>
                                  <w:p w:rsidR="002D3179" w:rsidRDefault="002D3179">
                                    <w:pPr>
                                      <w:pStyle w:val="NormalWeb"/>
                                      <w:spacing w:before="240" w:beforeAutospacing="0" w:after="0" w:afterAutospacing="0"/>
                                      <w:rPr>
                                        <w:rFonts w:ascii="Arial" w:hAnsi="Arial" w:cs="Arial"/>
                                        <w:color w:val="000000"/>
                                      </w:rPr>
                                    </w:pPr>
                                    <w:r>
                                      <w:rPr>
                                        <w:rFonts w:ascii="Arial" w:hAnsi="Arial" w:cs="Arial"/>
                                        <w:color w:val="FFFFFF"/>
                                      </w:rPr>
                                      <w:t>8 a.m. to 5 p.m., Monday to Friday (</w:t>
                                    </w:r>
                                    <w:proofErr w:type="spellStart"/>
                                    <w:r>
                                      <w:rPr>
                                        <w:rFonts w:ascii="Arial" w:hAnsi="Arial" w:cs="Arial"/>
                                        <w:color w:val="FFFFFF"/>
                                      </w:rPr>
                                      <w:t>MyCare</w:t>
                                    </w:r>
                                    <w:proofErr w:type="spellEnd"/>
                                    <w:r>
                                      <w:rPr>
                                        <w:rFonts w:ascii="Arial" w:hAnsi="Arial" w:cs="Arial"/>
                                        <w:color w:val="FFFFFF"/>
                                      </w:rPr>
                                      <w:t xml:space="preserve"> Ohio available until 6 p.m.)</w:t>
                                    </w:r>
                                  </w:p>
                                  <w:p w:rsidR="002D3179" w:rsidRDefault="002D3179">
                                    <w:pPr>
                                      <w:pStyle w:val="NormalWeb"/>
                                      <w:spacing w:before="240" w:beforeAutospacing="0" w:after="0" w:afterAutospacing="0"/>
                                      <w:rPr>
                                        <w:rFonts w:ascii="Arial" w:hAnsi="Arial" w:cs="Arial"/>
                                        <w:color w:val="000000"/>
                                      </w:rPr>
                                    </w:pPr>
                                    <w:r>
                                      <w:rPr>
                                        <w:rFonts w:ascii="Arial" w:hAnsi="Arial" w:cs="Arial"/>
                                        <w:color w:val="FFFFFF"/>
                                      </w:rPr>
                                      <w:t>Email us at </w:t>
                                    </w:r>
                                    <w:proofErr w:type="spellStart"/>
                                    <w:r>
                                      <w:rPr>
                                        <w:rFonts w:ascii="Arial" w:hAnsi="Arial" w:cs="Arial"/>
                                        <w:color w:val="000000"/>
                                      </w:rPr>
                                      <w:fldChar w:fldCharType="begin"/>
                                    </w:r>
                                    <w:r>
                                      <w:rPr>
                                        <w:rFonts w:ascii="Arial" w:hAnsi="Arial" w:cs="Arial"/>
                                        <w:color w:val="000000"/>
                                      </w:rPr>
                                      <w:instrText xml:space="preserve"> HYPERLINK "mailto:OHProviderRelations@%20MolinaHealthcare.com%20" \t "_blank" </w:instrText>
                                    </w:r>
                                    <w:r>
                                      <w:rPr>
                                        <w:rFonts w:ascii="Arial" w:hAnsi="Arial" w:cs="Arial"/>
                                        <w:color w:val="000000"/>
                                      </w:rPr>
                                      <w:fldChar w:fldCharType="separate"/>
                                    </w:r>
                                    <w:r>
                                      <w:rPr>
                                        <w:rStyle w:val="Strong"/>
                                        <w:rFonts w:ascii="Arial" w:hAnsi="Arial" w:cs="Arial"/>
                                        <w:color w:val="FFFFFF"/>
                                      </w:rPr>
                                      <w:t>OHProviderRelations</w:t>
                                    </w:r>
                                    <w:proofErr w:type="spellEnd"/>
                                    <w:r>
                                      <w:rPr>
                                        <w:rStyle w:val="Strong"/>
                                        <w:rFonts w:ascii="Arial" w:hAnsi="Arial" w:cs="Arial"/>
                                        <w:color w:val="FFFFFF"/>
                                      </w:rPr>
                                      <w:t>@ MolinaHealthcare.com </w:t>
                                    </w:r>
                                    <w:r>
                                      <w:rPr>
                                        <w:rFonts w:ascii="Arial" w:hAnsi="Arial" w:cs="Arial"/>
                                        <w:color w:val="000000"/>
                                      </w:rPr>
                                      <w:fldChar w:fldCharType="end"/>
                                    </w:r>
                                  </w:p>
                                  <w:p w:rsidR="002D3179" w:rsidRDefault="002D3179">
                                    <w:pPr>
                                      <w:pStyle w:val="NormalWeb"/>
                                      <w:spacing w:before="240" w:beforeAutospacing="0" w:after="0" w:afterAutospacing="0"/>
                                      <w:rPr>
                                        <w:rFonts w:ascii="Arial" w:hAnsi="Arial" w:cs="Arial"/>
                                        <w:color w:val="000000"/>
                                      </w:rPr>
                                    </w:pPr>
                                    <w:r>
                                      <w:rPr>
                                        <w:rFonts w:ascii="Arial" w:hAnsi="Arial" w:cs="Arial"/>
                                        <w:color w:val="FFFFFF"/>
                                      </w:rPr>
                                      <w:t>Visit our website at </w:t>
                                    </w:r>
                                    <w:hyperlink r:id="rId13" w:tgtFrame="_blank" w:history="1">
                                      <w:r>
                                        <w:rPr>
                                          <w:rStyle w:val="Strong"/>
                                          <w:rFonts w:ascii="Arial" w:hAnsi="Arial" w:cs="Arial"/>
                                          <w:color w:val="FFFFFF"/>
                                        </w:rPr>
                                        <w:t>MolinaHealthcare.com/</w:t>
                                      </w:r>
                                      <w:proofErr w:type="spellStart"/>
                                      <w:r>
                                        <w:rPr>
                                          <w:rStyle w:val="Strong"/>
                                          <w:rFonts w:ascii="Arial" w:hAnsi="Arial" w:cs="Arial"/>
                                          <w:color w:val="FFFFFF"/>
                                        </w:rPr>
                                        <w:t>OhioProviders</w:t>
                                      </w:r>
                                      <w:proofErr w:type="spellEnd"/>
                                    </w:hyperlink>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500"/>
                                    </w:tblGrid>
                                    <w:tr w:rsidR="002D3179">
                                      <w:trPr>
                                        <w:jc w:val="center"/>
                                      </w:trPr>
                                      <w:tc>
                                        <w:tcPr>
                                          <w:tcW w:w="0" w:type="auto"/>
                                          <w:tcBorders>
                                            <w:top w:val="nil"/>
                                            <w:left w:val="nil"/>
                                            <w:bottom w:val="single" w:sz="6" w:space="0" w:color="FFFFFF"/>
                                            <w:right w:val="nil"/>
                                          </w:tcBorders>
                                          <w:vAlign w:val="center"/>
                                          <w:hideMark/>
                                        </w:tcPr>
                                        <w:p w:rsidR="002D3179" w:rsidRDefault="002D3179">
                                          <w:pPr>
                                            <w:spacing w:line="0" w:lineRule="atLeast"/>
                                            <w:rPr>
                                              <w:rFonts w:eastAsia="Times New Roman"/>
                                              <w:sz w:val="2"/>
                                              <w:szCs w:val="2"/>
                                            </w:rPr>
                                          </w:pPr>
                                          <w:r>
                                            <w:rPr>
                                              <w:rFonts w:eastAsia="Times New Roman"/>
                                              <w:sz w:val="2"/>
                                              <w:szCs w:val="2"/>
                                            </w:rPr>
                                            <w:t> </w:t>
                                          </w:r>
                                        </w:p>
                                      </w:tc>
                                    </w:tr>
                                  </w:tbl>
                                  <w:p w:rsidR="002D3179" w:rsidRDefault="002D3179">
                                    <w:pPr>
                                      <w:jc w:val="center"/>
                                      <w:rPr>
                                        <w:rFonts w:eastAsia="Times New Roman"/>
                                        <w:sz w:val="20"/>
                                        <w:szCs w:val="20"/>
                                      </w:rPr>
                                    </w:pP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p w:rsidR="002D3179" w:rsidRDefault="002D3179">
                                    <w:pPr>
                                      <w:pStyle w:val="NormalWeb"/>
                                      <w:spacing w:before="0" w:beforeAutospacing="0" w:after="0" w:afterAutospacing="0"/>
                                      <w:rPr>
                                        <w:rFonts w:ascii="Arial" w:hAnsi="Arial" w:cs="Arial"/>
                                        <w:color w:val="000000"/>
                                      </w:rPr>
                                    </w:pPr>
                                    <w:r>
                                      <w:rPr>
                                        <w:rStyle w:val="Strong"/>
                                        <w:rFonts w:ascii="Arial" w:hAnsi="Arial" w:cs="Arial"/>
                                        <w:color w:val="FFFFFF"/>
                                      </w:rPr>
                                      <w:t>Fighting Fraud, Waste &amp; Abuse</w:t>
                                    </w:r>
                                  </w:p>
                                  <w:p w:rsidR="002D3179" w:rsidRDefault="002D3179">
                                    <w:pPr>
                                      <w:pStyle w:val="NormalWeb"/>
                                      <w:spacing w:before="240" w:beforeAutospacing="0" w:after="0" w:afterAutospacing="0"/>
                                      <w:rPr>
                                        <w:rFonts w:ascii="Arial" w:hAnsi="Arial" w:cs="Arial"/>
                                        <w:color w:val="000000"/>
                                      </w:rPr>
                                    </w:pPr>
                                    <w:r>
                                      <w:rPr>
                                        <w:rFonts w:ascii="Arial" w:hAnsi="Arial" w:cs="Arial"/>
                                        <w:color w:val="FFFFFF"/>
                                      </w:rPr>
                                      <w:lastRenderedPageBreak/>
                                      <w:t xml:space="preserve">Do you have suspicions of member or provider fraud? The </w:t>
                                    </w:r>
                                    <w:hyperlink r:id="rId14" w:tgtFrame="_blank" w:history="1">
                                      <w:r>
                                        <w:rPr>
                                          <w:rStyle w:val="Hyperlink"/>
                                          <w:rFonts w:ascii="Arial" w:hAnsi="Arial" w:cs="Arial"/>
                                          <w:color w:val="FFFFFF"/>
                                        </w:rPr>
                                        <w:t xml:space="preserve">Molina Healthcare </w:t>
                                      </w:r>
                                      <w:proofErr w:type="spellStart"/>
                                      <w:r>
                                        <w:rPr>
                                          <w:rStyle w:val="Hyperlink"/>
                                          <w:rFonts w:ascii="Arial" w:hAnsi="Arial" w:cs="Arial"/>
                                          <w:color w:val="FFFFFF"/>
                                        </w:rPr>
                                        <w:t>AlertLine</w:t>
                                      </w:r>
                                      <w:proofErr w:type="spellEnd"/>
                                    </w:hyperlink>
                                    <w:r>
                                      <w:rPr>
                                        <w:rFonts w:ascii="Arial" w:hAnsi="Arial" w:cs="Arial"/>
                                        <w:color w:val="FFFFFF"/>
                                      </w:rPr>
                                      <w:t xml:space="preserve"> is available 24 hours a day, 7 days a week, even on holidays at the link above or (866) 606-3889.</w:t>
                                    </w:r>
                                  </w:p>
                                  <w:p w:rsidR="002D3179" w:rsidRDefault="002D3179">
                                    <w:pPr>
                                      <w:pStyle w:val="NormalWeb"/>
                                      <w:spacing w:before="240" w:beforeAutospacing="0" w:after="0" w:afterAutospacing="0"/>
                                      <w:rPr>
                                        <w:rFonts w:ascii="Arial" w:hAnsi="Arial" w:cs="Arial"/>
                                        <w:color w:val="000000"/>
                                      </w:rPr>
                                    </w:pPr>
                                    <w:r>
                                      <w:rPr>
                                        <w:rFonts w:ascii="Arial" w:hAnsi="Arial" w:cs="Arial"/>
                                        <w:color w:val="FFFFFF"/>
                                      </w:rPr>
                                      <w:t>Reports are confidential, but you may choose to report anonymously.</w:t>
                                    </w: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500"/>
                                    </w:tblGrid>
                                    <w:tr w:rsidR="002D3179">
                                      <w:trPr>
                                        <w:jc w:val="center"/>
                                      </w:trPr>
                                      <w:tc>
                                        <w:tcPr>
                                          <w:tcW w:w="0" w:type="auto"/>
                                          <w:tcBorders>
                                            <w:top w:val="nil"/>
                                            <w:left w:val="nil"/>
                                            <w:bottom w:val="single" w:sz="6" w:space="0" w:color="FFFFFF"/>
                                            <w:right w:val="nil"/>
                                          </w:tcBorders>
                                          <w:vAlign w:val="center"/>
                                          <w:hideMark/>
                                        </w:tcPr>
                                        <w:p w:rsidR="002D3179" w:rsidRDefault="002D3179">
                                          <w:pPr>
                                            <w:spacing w:line="0" w:lineRule="atLeast"/>
                                            <w:rPr>
                                              <w:rFonts w:eastAsia="Times New Roman"/>
                                              <w:sz w:val="2"/>
                                              <w:szCs w:val="2"/>
                                            </w:rPr>
                                          </w:pPr>
                                          <w:r>
                                            <w:rPr>
                                              <w:rFonts w:eastAsia="Times New Roman"/>
                                              <w:sz w:val="2"/>
                                              <w:szCs w:val="2"/>
                                            </w:rPr>
                                            <w:t> </w:t>
                                          </w:r>
                                        </w:p>
                                      </w:tc>
                                    </w:tr>
                                  </w:tbl>
                                  <w:p w:rsidR="002D3179" w:rsidRDefault="002D3179">
                                    <w:pPr>
                                      <w:jc w:val="center"/>
                                      <w:rPr>
                                        <w:rFonts w:eastAsia="Times New Roman"/>
                                        <w:sz w:val="20"/>
                                        <w:szCs w:val="20"/>
                                      </w:rPr>
                                    </w:pP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tbl>
                                    <w:tblPr>
                                      <w:tblW w:w="0" w:type="auto"/>
                                      <w:jc w:val="center"/>
                                      <w:tblCellMar>
                                        <w:left w:w="0" w:type="dxa"/>
                                        <w:right w:w="0" w:type="dxa"/>
                                      </w:tblCellMar>
                                      <w:tblLook w:val="04A0" w:firstRow="1" w:lastRow="0" w:firstColumn="1" w:lastColumn="0" w:noHBand="0" w:noVBand="1"/>
                                    </w:tblPr>
                                    <w:tblGrid>
                                      <w:gridCol w:w="3882"/>
                                    </w:tblGrid>
                                    <w:tr w:rsidR="002D3179">
                                      <w:trPr>
                                        <w:jc w:val="center"/>
                                      </w:trPr>
                                      <w:tc>
                                        <w:tcPr>
                                          <w:tcW w:w="0" w:type="auto"/>
                                          <w:tcBorders>
                                            <w:top w:val="single" w:sz="12" w:space="0" w:color="10B4B9"/>
                                            <w:left w:val="single" w:sz="12" w:space="0" w:color="10B4B9"/>
                                            <w:bottom w:val="single" w:sz="12" w:space="0" w:color="10B4B9"/>
                                            <w:right w:val="single" w:sz="12" w:space="0" w:color="10B4B9"/>
                                          </w:tcBorders>
                                          <w:shd w:val="clear" w:color="auto" w:fill="F0EDED"/>
                                          <w:tcMar>
                                            <w:top w:w="150" w:type="dxa"/>
                                            <w:left w:w="300" w:type="dxa"/>
                                            <w:bottom w:w="150" w:type="dxa"/>
                                            <w:right w:w="300" w:type="dxa"/>
                                          </w:tcMar>
                                          <w:vAlign w:val="center"/>
                                          <w:hideMark/>
                                        </w:tcPr>
                                        <w:p w:rsidR="002D3179" w:rsidRDefault="002D3179">
                                          <w:pPr>
                                            <w:jc w:val="center"/>
                                            <w:rPr>
                                              <w:rFonts w:eastAsia="Times New Roman"/>
                                            </w:rPr>
                                          </w:pPr>
                                          <w:hyperlink r:id="rId15" w:history="1">
                                            <w:r>
                                              <w:rPr>
                                                <w:rStyle w:val="Hyperlink"/>
                                                <w:rFonts w:ascii="Arial" w:eastAsia="Times New Roman" w:hAnsi="Arial" w:cs="Arial"/>
                                                <w:color w:val="000000"/>
                                              </w:rPr>
                                              <w:t>Join Our Email Distribution List</w:t>
                                            </w:r>
                                          </w:hyperlink>
                                        </w:p>
                                      </w:tc>
                                    </w:tr>
                                  </w:tbl>
                                  <w:p w:rsidR="002D3179" w:rsidRDefault="002D3179">
                                    <w:pPr>
                                      <w:jc w:val="center"/>
                                      <w:rPr>
                                        <w:rFonts w:eastAsia="Times New Roman"/>
                                        <w:sz w:val="20"/>
                                        <w:szCs w:val="20"/>
                                      </w:rPr>
                                    </w:pPr>
                                  </w:p>
                                </w:tc>
                              </w:tr>
                              <w:tr w:rsidR="002D3179">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500"/>
                                    </w:tblGrid>
                                    <w:tr w:rsidR="002D3179">
                                      <w:trPr>
                                        <w:jc w:val="center"/>
                                      </w:trPr>
                                      <w:tc>
                                        <w:tcPr>
                                          <w:tcW w:w="0" w:type="auto"/>
                                          <w:tcBorders>
                                            <w:top w:val="nil"/>
                                            <w:left w:val="nil"/>
                                            <w:bottom w:val="single" w:sz="6" w:space="0" w:color="FFFFFF"/>
                                            <w:right w:val="nil"/>
                                          </w:tcBorders>
                                          <w:vAlign w:val="center"/>
                                          <w:hideMark/>
                                        </w:tcPr>
                                        <w:p w:rsidR="002D3179" w:rsidRDefault="002D3179">
                                          <w:pPr>
                                            <w:spacing w:line="0" w:lineRule="atLeast"/>
                                            <w:rPr>
                                              <w:rFonts w:eastAsia="Times New Roman"/>
                                              <w:sz w:val="2"/>
                                              <w:szCs w:val="2"/>
                                            </w:rPr>
                                          </w:pPr>
                                          <w:r>
                                            <w:rPr>
                                              <w:rFonts w:eastAsia="Times New Roman"/>
                                              <w:sz w:val="2"/>
                                              <w:szCs w:val="2"/>
                                            </w:rPr>
                                            <w:t> </w:t>
                                          </w:r>
                                        </w:p>
                                      </w:tc>
                                    </w:tr>
                                  </w:tbl>
                                  <w:p w:rsidR="002D3179" w:rsidRDefault="002D3179">
                                    <w:pPr>
                                      <w:jc w:val="center"/>
                                      <w:rPr>
                                        <w:rFonts w:eastAsia="Times New Roman"/>
                                        <w:sz w:val="20"/>
                                        <w:szCs w:val="20"/>
                                      </w:rPr>
                                    </w:pP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p w:rsidR="002D3179" w:rsidRDefault="002D3179">
                                    <w:pPr>
                                      <w:pStyle w:val="NormalWeb"/>
                                      <w:spacing w:before="0" w:beforeAutospacing="0" w:after="0" w:afterAutospacing="0"/>
                                      <w:jc w:val="center"/>
                                      <w:rPr>
                                        <w:rFonts w:ascii="Arial" w:hAnsi="Arial" w:cs="Arial"/>
                                        <w:color w:val="000000"/>
                                      </w:rPr>
                                    </w:pPr>
                                    <w:r>
                                      <w:rPr>
                                        <w:rStyle w:val="Strong"/>
                                        <w:rFonts w:ascii="Arial" w:hAnsi="Arial" w:cs="Arial"/>
                                        <w:color w:val="FFFFFF"/>
                                      </w:rPr>
                                      <w:t>Connect with Us</w:t>
                                    </w:r>
                                  </w:p>
                                </w:tc>
                              </w:tr>
                            </w:tbl>
                            <w:p w:rsidR="002D3179" w:rsidRDefault="002D3179">
                              <w:pPr>
                                <w:rPr>
                                  <w:rFonts w:eastAsia="Times New Roman"/>
                                  <w:vanish/>
                                </w:rPr>
                              </w:pPr>
                            </w:p>
                            <w:tbl>
                              <w:tblPr>
                                <w:tblW w:w="5000" w:type="pct"/>
                                <w:tblLook w:val="04A0" w:firstRow="1" w:lastRow="0" w:firstColumn="1" w:lastColumn="0" w:noHBand="0" w:noVBand="1"/>
                              </w:tblPr>
                              <w:tblGrid>
                                <w:gridCol w:w="10500"/>
                              </w:tblGrid>
                              <w:tr w:rsidR="002D3179">
                                <w:tc>
                                  <w:tcPr>
                                    <w:tcW w:w="0" w:type="auto"/>
                                    <w:tcMar>
                                      <w:top w:w="15" w:type="dxa"/>
                                      <w:left w:w="15" w:type="dxa"/>
                                      <w:bottom w:w="15" w:type="dxa"/>
                                      <w:right w:w="15" w:type="dxa"/>
                                    </w:tcMar>
                                    <w:vAlign w:val="center"/>
                                    <w:hideMark/>
                                  </w:tcPr>
                                  <w:p w:rsidR="002D3179" w:rsidRDefault="002D3179">
                                    <w:pPr>
                                      <w:jc w:val="center"/>
                                      <w:rPr>
                                        <w:rFonts w:eastAsia="Times New Roman"/>
                                      </w:rPr>
                                    </w:pPr>
                                    <w:r>
                                      <w:rPr>
                                        <w:rFonts w:eastAsia="Times New Roman"/>
                                        <w:noProof/>
                                        <w:color w:val="0000FF"/>
                                      </w:rPr>
                                      <w:drawing>
                                        <wp:inline distT="0" distB="0" distL="0" distR="0">
                                          <wp:extent cx="381000" cy="381000"/>
                                          <wp:effectExtent l="0" t="0" r="0" b="0"/>
                                          <wp:docPr id="3" name="Picture 3" descr="Facebook">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imes New Roman"/>
                                        <w:noProof/>
                                        <w:color w:val="0000FF"/>
                                      </w:rPr>
                                      <w:drawing>
                                        <wp:inline distT="0" distB="0" distL="0" distR="0">
                                          <wp:extent cx="381000" cy="381000"/>
                                          <wp:effectExtent l="0" t="0" r="0" b="0"/>
                                          <wp:docPr id="2" name="Picture 2" descr="Twitt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Pr>
                                        <w:rFonts w:eastAsia="Times New Roman"/>
                                        <w:noProof/>
                                        <w:color w:val="0000FF"/>
                                      </w:rPr>
                                      <w:drawing>
                                        <wp:inline distT="0" distB="0" distL="0" distR="0">
                                          <wp:extent cx="381000" cy="381000"/>
                                          <wp:effectExtent l="0" t="0" r="0" b="0"/>
                                          <wp:docPr id="1" name="Picture 1" descr="Email Addres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ail Addres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tcMar>
                                      <w:top w:w="150" w:type="dxa"/>
                                      <w:left w:w="0" w:type="dxa"/>
                                      <w:bottom w:w="150" w:type="dxa"/>
                                      <w:right w:w="0" w:type="dxa"/>
                                    </w:tcMar>
                                    <w:vAlign w:val="center"/>
                                    <w:hideMark/>
                                  </w:tcPr>
                                  <w:tbl>
                                    <w:tblPr>
                                      <w:tblW w:w="5000" w:type="pct"/>
                                      <w:jc w:val="center"/>
                                      <w:tblCellMar>
                                        <w:left w:w="0" w:type="dxa"/>
                                        <w:right w:w="0" w:type="dxa"/>
                                      </w:tblCellMar>
                                      <w:tblLook w:val="04A0" w:firstRow="1" w:lastRow="0" w:firstColumn="1" w:lastColumn="0" w:noHBand="0" w:noVBand="1"/>
                                    </w:tblPr>
                                    <w:tblGrid>
                                      <w:gridCol w:w="10500"/>
                                    </w:tblGrid>
                                    <w:tr w:rsidR="002D3179">
                                      <w:trPr>
                                        <w:jc w:val="center"/>
                                      </w:trPr>
                                      <w:tc>
                                        <w:tcPr>
                                          <w:tcW w:w="0" w:type="auto"/>
                                          <w:tcBorders>
                                            <w:top w:val="nil"/>
                                            <w:left w:val="nil"/>
                                            <w:bottom w:val="single" w:sz="6" w:space="0" w:color="FFFFFF"/>
                                            <w:right w:val="nil"/>
                                          </w:tcBorders>
                                          <w:vAlign w:val="center"/>
                                          <w:hideMark/>
                                        </w:tcPr>
                                        <w:p w:rsidR="002D3179" w:rsidRDefault="002D3179">
                                          <w:pPr>
                                            <w:spacing w:line="0" w:lineRule="atLeast"/>
                                            <w:rPr>
                                              <w:rFonts w:eastAsia="Times New Roman"/>
                                              <w:sz w:val="2"/>
                                              <w:szCs w:val="2"/>
                                            </w:rPr>
                                          </w:pPr>
                                          <w:r>
                                            <w:rPr>
                                              <w:rFonts w:eastAsia="Times New Roman"/>
                                              <w:sz w:val="2"/>
                                              <w:szCs w:val="2"/>
                                            </w:rPr>
                                            <w:t> </w:t>
                                          </w:r>
                                        </w:p>
                                      </w:tc>
                                    </w:tr>
                                  </w:tbl>
                                  <w:p w:rsidR="002D3179" w:rsidRDefault="002D3179">
                                    <w:pPr>
                                      <w:jc w:val="center"/>
                                      <w:rPr>
                                        <w:rFonts w:eastAsia="Times New Roman"/>
                                        <w:sz w:val="20"/>
                                        <w:szCs w:val="20"/>
                                      </w:rPr>
                                    </w:pPr>
                                  </w:p>
                                </w:tc>
                              </w:tr>
                            </w:tbl>
                            <w:p w:rsidR="002D3179" w:rsidRDefault="002D3179">
                              <w:pPr>
                                <w:rPr>
                                  <w:rFonts w:eastAsia="Times New Roman"/>
                                  <w:vanish/>
                                </w:rPr>
                              </w:pPr>
                            </w:p>
                            <w:tbl>
                              <w:tblPr>
                                <w:tblW w:w="5000" w:type="pct"/>
                                <w:tblCellMar>
                                  <w:left w:w="0" w:type="dxa"/>
                                  <w:right w:w="0" w:type="dxa"/>
                                </w:tblCellMar>
                                <w:tblLook w:val="04A0" w:firstRow="1" w:lastRow="0" w:firstColumn="1" w:lastColumn="0" w:noHBand="0" w:noVBand="1"/>
                              </w:tblPr>
                              <w:tblGrid>
                                <w:gridCol w:w="10500"/>
                              </w:tblGrid>
                              <w:tr w:rsidR="002D3179">
                                <w:tc>
                                  <w:tcPr>
                                    <w:tcW w:w="0" w:type="auto"/>
                                    <w:vAlign w:val="center"/>
                                    <w:hideMark/>
                                  </w:tcPr>
                                  <w:p w:rsidR="002D3179" w:rsidRDefault="002D3179">
                                    <w:pPr>
                                      <w:pStyle w:val="NormalWeb"/>
                                      <w:spacing w:before="0" w:beforeAutospacing="0" w:after="0" w:afterAutospacing="0"/>
                                      <w:jc w:val="center"/>
                                      <w:rPr>
                                        <w:rFonts w:ascii="Arial" w:hAnsi="Arial" w:cs="Arial"/>
                                        <w:color w:val="000000"/>
                                      </w:rPr>
                                    </w:pPr>
                                    <w:r>
                                      <w:rPr>
                                        <w:rStyle w:val="Emphasis"/>
                                        <w:rFonts w:ascii="Arial" w:hAnsi="Arial" w:cs="Arial"/>
                                        <w:color w:val="FFFFFF"/>
                                      </w:rPr>
                                      <w:t xml:space="preserve">The Special Provider Bulletin is a newsletter distributed to all network providers serving beneficiaries of Molina Healthcare of Ohio Medicaid, Medicare, </w:t>
                                    </w:r>
                                    <w:proofErr w:type="spellStart"/>
                                    <w:r>
                                      <w:rPr>
                                        <w:rStyle w:val="Emphasis"/>
                                        <w:rFonts w:ascii="Arial" w:hAnsi="Arial" w:cs="Arial"/>
                                        <w:color w:val="FFFFFF"/>
                                      </w:rPr>
                                      <w:t>MyCare</w:t>
                                    </w:r>
                                    <w:proofErr w:type="spellEnd"/>
                                    <w:r>
                                      <w:rPr>
                                        <w:rStyle w:val="Emphasis"/>
                                        <w:rFonts w:ascii="Arial" w:hAnsi="Arial" w:cs="Arial"/>
                                        <w:color w:val="FFFFFF"/>
                                      </w:rPr>
                                      <w:t xml:space="preserve"> Ohio and Marketplace health care plans.</w:t>
                                    </w:r>
                                  </w:p>
                                </w:tc>
                              </w:tr>
                            </w:tbl>
                            <w:p w:rsidR="002D3179" w:rsidRDefault="002D3179">
                              <w:pPr>
                                <w:rPr>
                                  <w:rFonts w:eastAsia="Times New Roman"/>
                                  <w:sz w:val="20"/>
                                  <w:szCs w:val="20"/>
                                </w:rPr>
                              </w:pPr>
                            </w:p>
                          </w:tc>
                        </w:tr>
                      </w:tbl>
                      <w:p w:rsidR="002D3179" w:rsidRDefault="002D3179">
                        <w:pPr>
                          <w:rPr>
                            <w:rFonts w:eastAsia="Times New Roman"/>
                            <w:sz w:val="20"/>
                            <w:szCs w:val="20"/>
                          </w:rPr>
                        </w:pPr>
                      </w:p>
                    </w:tc>
                  </w:tr>
                </w:tbl>
                <w:p w:rsidR="002D3179" w:rsidRDefault="002D3179">
                  <w:pPr>
                    <w:jc w:val="center"/>
                    <w:rPr>
                      <w:rFonts w:eastAsia="Times New Roman"/>
                      <w:sz w:val="20"/>
                      <w:szCs w:val="20"/>
                    </w:rPr>
                  </w:pPr>
                </w:p>
              </w:tc>
            </w:tr>
          </w:tbl>
          <w:p w:rsidR="002D3179" w:rsidRDefault="002D3179">
            <w:pPr>
              <w:rPr>
                <w:rFonts w:eastAsia="Times New Roman"/>
                <w:sz w:val="20"/>
                <w:szCs w:val="20"/>
              </w:rPr>
            </w:pPr>
          </w:p>
        </w:tc>
      </w:tr>
    </w:tbl>
    <w:p w:rsidR="0003697C" w:rsidRDefault="0003697C">
      <w:bookmarkStart w:id="1" w:name="_GoBack"/>
      <w:bookmarkEnd w:id="1"/>
    </w:p>
    <w:sectPr w:rsidR="0003697C" w:rsidSect="002D317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44187"/>
    <w:multiLevelType w:val="multilevel"/>
    <w:tmpl w:val="0D840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F1B59"/>
    <w:multiLevelType w:val="multilevel"/>
    <w:tmpl w:val="AA3AE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220764"/>
    <w:multiLevelType w:val="multilevel"/>
    <w:tmpl w:val="80002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AC2487"/>
    <w:multiLevelType w:val="multilevel"/>
    <w:tmpl w:val="10CCA0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E12C0"/>
    <w:multiLevelType w:val="multilevel"/>
    <w:tmpl w:val="FB6AD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FB62F2"/>
    <w:multiLevelType w:val="multilevel"/>
    <w:tmpl w:val="72605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83D38"/>
    <w:multiLevelType w:val="multilevel"/>
    <w:tmpl w:val="A81E1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022093"/>
    <w:multiLevelType w:val="multilevel"/>
    <w:tmpl w:val="CE5E7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9D55EE"/>
    <w:multiLevelType w:val="multilevel"/>
    <w:tmpl w:val="B2ECB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1C46C4"/>
    <w:multiLevelType w:val="multilevel"/>
    <w:tmpl w:val="290296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9"/>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179"/>
    <w:rsid w:val="0003697C"/>
    <w:rsid w:val="002D3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5E74B-1E51-4D7E-ABA8-78A98B803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3179"/>
    <w:rPr>
      <w:color w:val="0000FF"/>
      <w:u w:val="single"/>
    </w:rPr>
  </w:style>
  <w:style w:type="paragraph" w:styleId="NormalWeb">
    <w:name w:val="Normal (Web)"/>
    <w:basedOn w:val="Normal"/>
    <w:uiPriority w:val="99"/>
    <w:semiHidden/>
    <w:unhideWhenUsed/>
    <w:rsid w:val="002D3179"/>
    <w:pPr>
      <w:spacing w:before="100" w:beforeAutospacing="1" w:after="100" w:afterAutospacing="1"/>
    </w:pPr>
  </w:style>
  <w:style w:type="character" w:styleId="Strong">
    <w:name w:val="Strong"/>
    <w:basedOn w:val="DefaultParagraphFont"/>
    <w:uiPriority w:val="22"/>
    <w:qFormat/>
    <w:rsid w:val="002D3179"/>
    <w:rPr>
      <w:b/>
      <w:bCs/>
    </w:rPr>
  </w:style>
  <w:style w:type="character" w:styleId="Emphasis">
    <w:name w:val="Emphasis"/>
    <w:basedOn w:val="DefaultParagraphFont"/>
    <w:uiPriority w:val="20"/>
    <w:qFormat/>
    <w:rsid w:val="002D31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icptrack.com/icp/relay.php?r=49183587&amp;msgid=187910&amp;act=6570&amp;c=1716234&amp;destination=https%3A%2F%2Fwww.cms.gov%2F&amp;cf=23582&amp;v=a2ebb1752fac0ca97a115b669985b9e061a2295e29504741b1e0df51ad6e3137" TargetMode="External"/><Relationship Id="rId13" Type="http://schemas.openxmlformats.org/officeDocument/2006/relationships/hyperlink" Target="https://click.icptrack.com/icp/relay.php?r=49183587&amp;msgid=187910&amp;act=6570&amp;c=1716234&amp;destination=https%3A%2F%2Fwww.molinahealthcare.com%2Fproviders%2Foh%2Fmedicaid%2Fpages%2Fhome.aspx&amp;cf=23582&amp;v=289c7aabff2262f6c8d9c1b7843af1b22a4b9a37a30fddb27bced7b660ec3290" TargetMode="External"/><Relationship Id="rId18" Type="http://schemas.openxmlformats.org/officeDocument/2006/relationships/hyperlink" Target="https://click.icptrack.com/icp/relay.php?r=49183587&amp;msgid=187910&amp;act=6570&amp;c=1716234&amp;destination=www.twitter.com%2FMolinaHealth%25EF%25BB%25BF&amp;cf=23582&amp;v=9b63ab8184ee7faa2a305faa7b34fe83b44d9d46627d434f40b6905fa2a6a9cf"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2.png"/><Relationship Id="rId12" Type="http://schemas.openxmlformats.org/officeDocument/2006/relationships/hyperlink" Target="https://click.icptrack.com/icp/relay.php?r=49183587&amp;msgid=187910&amp;act=6570&amp;c=1716234&amp;destination=https%3A%2F%2Fwww.youtube.com%2Fwatch%3Fv%3Dl9n5R-69h6E&amp;cf=23582&amp;v=4f412fa5053e2f8a2bc9ceaf4319fe03fa906cfd33c005d9a413f478447e65c6"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click.icptrack.com/icp/relay.php?r=49183587&amp;msgid=187910&amp;act=6570&amp;c=1716234&amp;destination=www.facebook.com%2FMolinaHealth%25EF%25BB%25BF&amp;cf=23582&amp;v=cc420e98c40d3cb8b19ec89220721ec7410c63a3d44b1977d7afb23809f68923" TargetMode="External"/><Relationship Id="rId20" Type="http://schemas.openxmlformats.org/officeDocument/2006/relationships/hyperlink" Target="mailto:OHProviderRelations@%20MolinaHealthcare.com" TargetMode="External"/><Relationship Id="rId1" Type="http://schemas.openxmlformats.org/officeDocument/2006/relationships/numbering" Target="numbering.xml"/><Relationship Id="rId6" Type="http://schemas.openxmlformats.org/officeDocument/2006/relationships/hyperlink" Target="https://click.icptrack.com/icp/relay.php?r=49183587&amp;msgid=187910&amp;act=6570&amp;c=1716234&amp;destination=https%3A%2F%2Fwww.molinahealthcare.com%2Fproviders%2Foh%2Fmedicaid%2FQuick-Reference-Guides--FAQs.aspx&amp;cf=23582&amp;v=b8df46bef04594d59d282409b9bf0e9966c9e1159015e58c93c02cdeab0a4ada" TargetMode="External"/><Relationship Id="rId11" Type="http://schemas.openxmlformats.org/officeDocument/2006/relationships/hyperlink" Target="https://click.icptrack.com/icp/relay.php?r=49183587&amp;msgid=187910&amp;act=6570&amp;c=1716234&amp;destination=https%3A%2F%2Fwww.covidvaxonthespot.com%2F&amp;cf=23582&amp;v=b5da57f5793a98dc073a128b1077794a3ece19109fe8f34d708f12de58df50d3" TargetMode="External"/><Relationship Id="rId5" Type="http://schemas.openxmlformats.org/officeDocument/2006/relationships/image" Target="media/image1.png"/><Relationship Id="rId15" Type="http://schemas.openxmlformats.org/officeDocument/2006/relationships/hyperlink" Target="https://click.icptrack.com/icp/relay.php?r=49183587&amp;msgid=187910&amp;act=6570&amp;c=1716234&amp;destination=http%3A%2F%2FMolinaHealthcare.com%2FProviderEmail&amp;cf=23582&amp;v=c55b02b4322ddea92bae570c44448cf96e8405881128a0c0b810951abf1e0f56" TargetMode="External"/><Relationship Id="rId23" Type="http://schemas.openxmlformats.org/officeDocument/2006/relationships/theme" Target="theme/theme1.xml"/><Relationship Id="rId10" Type="http://schemas.openxmlformats.org/officeDocument/2006/relationships/hyperlink" Target="https://click.icptrack.com/icp/relay.php?r=49183587&amp;msgid=187910&amp;act=6570&amp;c=1716234&amp;destination=https%3A%2F%2Fwww.molinahealthcare.com%2F-%2Fmedia%2FMolina%2FPublicWebsite%2FPDF%2FProviders%2Foh%2Fmedicaid%2Fcomm%2F2021-6-COVID-Admin-Fee-PB-final-for-web.pdf&amp;cf=23582&amp;v=d3d4c0cdbd7872bc3ed0eaa4a1e7075bf3f1c69f54bd22feaaa9f9d5c447b3e5"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click.icptrack.com/icp/relay.php?r=49183587&amp;msgid=187910&amp;act=6570&amp;c=1716234&amp;destination=https%3A%2F%2Fwww.cms.gov%2Fmedicare%2Fmedicare-part-b-drug-average-sales-price%2Fcovid-19-vaccines-and-monoclonal-antibodies&amp;cf=23582&amp;v=368fdb4cdf275132a5e6d9ea19dc043f83e803dba40b9548d90e1e707c8fc840" TargetMode="External"/><Relationship Id="rId14" Type="http://schemas.openxmlformats.org/officeDocument/2006/relationships/hyperlink" Target="https://click.icptrack.com/icp/relay.php?r=49183587&amp;msgid=187910&amp;act=6570&amp;c=1716234&amp;destination=https%3A%2F%2Fmolinahealthcare.alertline.com%2Fgcs%2Fwelcome&amp;cf=23582&amp;v=98d1f7393d28c18db3a84d812a82af35c473ec11f3e4ac394dffe11c60084bfd"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Begin</dc:creator>
  <cp:keywords/>
  <dc:description/>
  <cp:lastModifiedBy>Erin Begin</cp:lastModifiedBy>
  <cp:revision>1</cp:revision>
  <dcterms:created xsi:type="dcterms:W3CDTF">2022-01-21T12:57:00Z</dcterms:created>
  <dcterms:modified xsi:type="dcterms:W3CDTF">2022-01-21T12:58:00Z</dcterms:modified>
</cp:coreProperties>
</file>