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11F016" w14:textId="77777777" w:rsidR="008C6C58" w:rsidRPr="00BA72DE" w:rsidRDefault="008C6C58" w:rsidP="008C6C58">
      <w:pPr>
        <w:spacing w:after="0"/>
        <w:rPr>
          <w:b/>
          <w:sz w:val="10"/>
          <w:szCs w:val="10"/>
        </w:rPr>
      </w:pPr>
      <w:r w:rsidRPr="00BA72DE">
        <w:rPr>
          <w:b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C7184F" wp14:editId="1CFC43B7">
                <wp:simplePos x="0" y="0"/>
                <wp:positionH relativeFrom="column">
                  <wp:posOffset>41275</wp:posOffset>
                </wp:positionH>
                <wp:positionV relativeFrom="paragraph">
                  <wp:posOffset>12700</wp:posOffset>
                </wp:positionV>
                <wp:extent cx="463550" cy="844550"/>
                <wp:effectExtent l="12700" t="12700" r="31750" b="3175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550" cy="8445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B01D30" w14:textId="77777777" w:rsidR="008C6C58" w:rsidRPr="009E2978" w:rsidRDefault="008C6C58" w:rsidP="008C6C58">
                            <w:pPr>
                              <w:spacing w:after="0"/>
                              <w:jc w:val="center"/>
                              <w:rPr>
                                <w:rFonts w:ascii="Impact" w:hAnsi="Impact"/>
                                <w:b/>
                                <w:sz w:val="28"/>
                                <w:szCs w:val="28"/>
                              </w:rPr>
                            </w:pPr>
                            <w:r w:rsidRPr="009E2978">
                              <w:rPr>
                                <w:rFonts w:ascii="Impact" w:hAnsi="Impact"/>
                                <w:b/>
                                <w:sz w:val="28"/>
                                <w:szCs w:val="28"/>
                              </w:rPr>
                              <w:t>PROPOSAL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C718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25pt;margin-top:1pt;width:36.5pt;height:6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" filled="f" strokecolor="black [3213]" strokeweight="3pt">
                <v:textbox style="layout-flow:vertical;mso-layout-flow-alt:bottom-to-top">
                  <w:txbxContent>
                    <w:p w14:paraId="6EB01D30" w14:textId="77777777" w:rsidR="008C6C58" w:rsidRPr="009E2978" w:rsidRDefault="008C6C58" w:rsidP="008C6C58">
                      <w:pPr>
                        <w:spacing w:after="0"/>
                        <w:jc w:val="center"/>
                        <w:rPr>
                          <w:rFonts w:ascii="Impact" w:hAnsi="Impact"/>
                          <w:b/>
                          <w:sz w:val="28"/>
                          <w:szCs w:val="28"/>
                        </w:rPr>
                      </w:pPr>
                      <w:r w:rsidRPr="009E2978">
                        <w:rPr>
                          <w:rFonts w:ascii="Impact" w:hAnsi="Impact"/>
                          <w:b/>
                          <w:sz w:val="28"/>
                          <w:szCs w:val="28"/>
                        </w:rPr>
                        <w:t>PROPOSAL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2502"/>
        <w:gridCol w:w="5688"/>
      </w:tblGrid>
      <w:tr w:rsidR="008C6C58" w14:paraId="2B629857" w14:textId="77777777" w:rsidTr="00A82D8F">
        <w:tc>
          <w:tcPr>
            <w:tcW w:w="2502" w:type="dxa"/>
            <w:shd w:val="clear" w:color="auto" w:fill="F2F2F2" w:themeFill="background1" w:themeFillShade="F2"/>
          </w:tcPr>
          <w:p w14:paraId="05343577" w14:textId="77777777" w:rsidR="008C6C58" w:rsidRDefault="008C6C58" w:rsidP="00A82D8F">
            <w:pPr>
              <w:rPr>
                <w:b/>
              </w:rPr>
            </w:pPr>
            <w:r>
              <w:rPr>
                <w:b/>
              </w:rPr>
              <w:t>Proposal Title:</w:t>
            </w:r>
          </w:p>
        </w:tc>
        <w:tc>
          <w:tcPr>
            <w:tcW w:w="5688" w:type="dxa"/>
            <w:shd w:val="clear" w:color="auto" w:fill="F2F2F2" w:themeFill="background1" w:themeFillShade="F2"/>
          </w:tcPr>
          <w:p w14:paraId="3EF3D5EC" w14:textId="06705FF7" w:rsidR="008C6C58" w:rsidRPr="00B3218F" w:rsidRDefault="00640D42" w:rsidP="00A82D8F">
            <w:r>
              <w:t xml:space="preserve">Provider Simplification and Efficiency </w:t>
            </w:r>
          </w:p>
        </w:tc>
      </w:tr>
      <w:tr w:rsidR="008C6C58" w14:paraId="57CD2C21" w14:textId="77777777" w:rsidTr="00A82D8F">
        <w:tc>
          <w:tcPr>
            <w:tcW w:w="2502" w:type="dxa"/>
          </w:tcPr>
          <w:p w14:paraId="007B1574" w14:textId="77777777" w:rsidR="008C6C58" w:rsidRDefault="008C6C58" w:rsidP="00A82D8F">
            <w:pPr>
              <w:rPr>
                <w:b/>
              </w:rPr>
            </w:pPr>
            <w:r>
              <w:rPr>
                <w:b/>
              </w:rPr>
              <w:t>Proposal Sponsor:</w:t>
            </w:r>
          </w:p>
        </w:tc>
        <w:tc>
          <w:tcPr>
            <w:tcW w:w="5688" w:type="dxa"/>
          </w:tcPr>
          <w:p w14:paraId="0CF2C06F" w14:textId="2B72C17D" w:rsidR="008C6C58" w:rsidRDefault="00B263E0" w:rsidP="00A82D8F">
            <w:r>
              <w:t xml:space="preserve">Transportation Subcommittee </w:t>
            </w:r>
            <w:r w:rsidR="007366A3">
              <w:t xml:space="preserve"> </w:t>
            </w:r>
          </w:p>
        </w:tc>
      </w:tr>
      <w:tr w:rsidR="008C6C58" w14:paraId="503A3B76" w14:textId="77777777" w:rsidTr="00A82D8F">
        <w:tc>
          <w:tcPr>
            <w:tcW w:w="2502" w:type="dxa"/>
          </w:tcPr>
          <w:p w14:paraId="7522D01B" w14:textId="77777777" w:rsidR="008C6C58" w:rsidRDefault="008C6C58" w:rsidP="00A82D8F">
            <w:pPr>
              <w:rPr>
                <w:b/>
              </w:rPr>
            </w:pPr>
            <w:r>
              <w:rPr>
                <w:b/>
              </w:rPr>
              <w:t>Date Proposed:</w:t>
            </w:r>
          </w:p>
        </w:tc>
        <w:tc>
          <w:tcPr>
            <w:tcW w:w="5688" w:type="dxa"/>
          </w:tcPr>
          <w:p w14:paraId="5396835C" w14:textId="51DA2901" w:rsidR="008C6C58" w:rsidRPr="00B3218F" w:rsidRDefault="00B263E0" w:rsidP="00A82D8F">
            <w:r>
              <w:t>10/8</w:t>
            </w:r>
            <w:r w:rsidR="007366A3">
              <w:t>/2020</w:t>
            </w:r>
          </w:p>
        </w:tc>
      </w:tr>
    </w:tbl>
    <w:p w14:paraId="7BF360BA" w14:textId="77777777" w:rsidR="008C6C58" w:rsidRPr="00282C12" w:rsidRDefault="008C6C58" w:rsidP="008C6C58">
      <w:pPr>
        <w:spacing w:after="0"/>
        <w:rPr>
          <w:i/>
          <w:sz w:val="10"/>
          <w:szCs w:val="10"/>
        </w:rPr>
      </w:pPr>
    </w:p>
    <w:p w14:paraId="42D2BA27" w14:textId="77777777" w:rsidR="008C6C58" w:rsidRDefault="008C6C58" w:rsidP="008C6C58">
      <w:pPr>
        <w:spacing w:after="0"/>
        <w:rPr>
          <w:b/>
          <w:sz w:val="4"/>
          <w:szCs w:val="4"/>
        </w:rPr>
      </w:pPr>
    </w:p>
    <w:p w14:paraId="293C4A4D" w14:textId="77777777" w:rsidR="008C6C58" w:rsidRDefault="008C6C58" w:rsidP="008C6C58">
      <w:pPr>
        <w:spacing w:after="0"/>
        <w:rPr>
          <w:b/>
          <w:sz w:val="4"/>
          <w:szCs w:val="4"/>
        </w:rPr>
      </w:pPr>
    </w:p>
    <w:p w14:paraId="08FB478A" w14:textId="77777777" w:rsidR="008C6C58" w:rsidRDefault="008C6C58" w:rsidP="008C6C58">
      <w:pPr>
        <w:spacing w:after="0"/>
        <w:rPr>
          <w:b/>
          <w:sz w:val="4"/>
          <w:szCs w:val="4"/>
        </w:rPr>
      </w:pPr>
    </w:p>
    <w:p w14:paraId="2AF42B43" w14:textId="77777777" w:rsidR="008C6C58" w:rsidRPr="00282C12" w:rsidRDefault="008C6C58" w:rsidP="008C6C58">
      <w:pPr>
        <w:spacing w:after="0"/>
        <w:rPr>
          <w:b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C6C58" w14:paraId="67EB4D53" w14:textId="77777777" w:rsidTr="00A82D8F">
        <w:tc>
          <w:tcPr>
            <w:tcW w:w="9576" w:type="dxa"/>
            <w:shd w:val="clear" w:color="auto" w:fill="F2F2F2" w:themeFill="background1" w:themeFillShade="F2"/>
          </w:tcPr>
          <w:p w14:paraId="742C70AB" w14:textId="77777777" w:rsidR="008C6C58" w:rsidRDefault="008C6C58" w:rsidP="00A82D8F">
            <w:pPr>
              <w:rPr>
                <w:b/>
              </w:rPr>
            </w:pPr>
            <w:r>
              <w:rPr>
                <w:b/>
              </w:rPr>
              <w:t>Problem or Opportunity Statement</w:t>
            </w:r>
          </w:p>
        </w:tc>
      </w:tr>
      <w:tr w:rsidR="008C6C58" w14:paraId="37498701" w14:textId="77777777" w:rsidTr="00A82D8F">
        <w:tc>
          <w:tcPr>
            <w:tcW w:w="9576" w:type="dxa"/>
          </w:tcPr>
          <w:p w14:paraId="79D33948" w14:textId="6970E150" w:rsidR="008C6C58" w:rsidRPr="008C6C58" w:rsidRDefault="0061285B" w:rsidP="008C6C58">
            <w:pPr>
              <w:rPr>
                <w:b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The complex system must be simplified including supports, services and administrative operations to achieve outcomes. Need to reduce administrative operation complexity in billing</w:t>
            </w:r>
            <w:r w:rsidR="000525B8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multiple service codes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throughout service delivery</w:t>
            </w:r>
            <w:r w:rsidR="00636BEB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for Adult Day and Employment Services</w:t>
            </w:r>
            <w:r w:rsidR="000525B8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(ADS, </w:t>
            </w:r>
            <w:r w:rsidR="00472882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NMT </w:t>
            </w:r>
            <w:r w:rsidR="000525B8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per-trip,</w:t>
            </w:r>
            <w:r w:rsidR="00472882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NMT</w:t>
            </w:r>
            <w:r w:rsidR="00636BEB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per-mile</w:t>
            </w:r>
            <w:r w:rsidR="00640D42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&amp;</w:t>
            </w:r>
            <w:r w:rsidR="000525B8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r w:rsidR="008A35C4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rate modifications</w:t>
            </w:r>
            <w:r w:rsidR="00640D42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)</w:t>
            </w:r>
          </w:p>
        </w:tc>
      </w:tr>
    </w:tbl>
    <w:p w14:paraId="434588D4" w14:textId="77777777" w:rsidR="008C6C58" w:rsidRPr="00EF220E" w:rsidRDefault="008C6C58" w:rsidP="008C6C58">
      <w:pPr>
        <w:spacing w:after="0"/>
        <w:rPr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C6C58" w:rsidRPr="000F54AC" w14:paraId="36756CA6" w14:textId="77777777" w:rsidTr="00A82D8F">
        <w:tc>
          <w:tcPr>
            <w:tcW w:w="9350" w:type="dxa"/>
            <w:shd w:val="clear" w:color="auto" w:fill="F2F2F2" w:themeFill="background1" w:themeFillShade="F2"/>
          </w:tcPr>
          <w:p w14:paraId="5D9EF6F8" w14:textId="77777777" w:rsidR="008C6C58" w:rsidRPr="000F54AC" w:rsidRDefault="008C6C58" w:rsidP="00A82D8F">
            <w:pPr>
              <w:rPr>
                <w:b/>
              </w:rPr>
            </w:pPr>
            <w:r>
              <w:rPr>
                <w:b/>
              </w:rPr>
              <w:t xml:space="preserve">Recommendation </w:t>
            </w:r>
            <w:r w:rsidRPr="000F54AC">
              <w:rPr>
                <w:b/>
              </w:rPr>
              <w:t xml:space="preserve">Proposal </w:t>
            </w:r>
          </w:p>
        </w:tc>
      </w:tr>
      <w:tr w:rsidR="008C6C58" w:rsidRPr="000F54AC" w14:paraId="370B8F04" w14:textId="77777777" w:rsidTr="00A82D8F">
        <w:tc>
          <w:tcPr>
            <w:tcW w:w="9350" w:type="dxa"/>
          </w:tcPr>
          <w:p w14:paraId="580F02C2" w14:textId="75DD4764" w:rsidR="00CD6BB7" w:rsidRDefault="00CD6BB7" w:rsidP="008A35C4">
            <w:pPr>
              <w:rPr>
                <w:iCs/>
              </w:rPr>
            </w:pPr>
            <w:r>
              <w:rPr>
                <w:iCs/>
              </w:rPr>
              <w:t xml:space="preserve">Proposal </w:t>
            </w:r>
            <w:r w:rsidR="00B009CA">
              <w:rPr>
                <w:iCs/>
              </w:rPr>
              <w:t>for Blueprint ADS-Work and ADS Non-work subcommittees to consider within recommendations</w:t>
            </w:r>
          </w:p>
          <w:p w14:paraId="68428A61" w14:textId="77777777" w:rsidR="00B009CA" w:rsidRDefault="00B009CA" w:rsidP="008A35C4">
            <w:pPr>
              <w:rPr>
                <w:iCs/>
              </w:rPr>
            </w:pPr>
          </w:p>
          <w:p w14:paraId="57AF55EB" w14:textId="30B2D7D6" w:rsidR="008A35C4" w:rsidRPr="00443744" w:rsidRDefault="00443744" w:rsidP="008A35C4">
            <w:pPr>
              <w:rPr>
                <w:iCs/>
              </w:rPr>
            </w:pPr>
            <w:r w:rsidRPr="00443744">
              <w:rPr>
                <w:iCs/>
              </w:rPr>
              <w:t xml:space="preserve">Create a billing </w:t>
            </w:r>
            <w:r>
              <w:rPr>
                <w:iCs/>
              </w:rPr>
              <w:t>structure</w:t>
            </w:r>
            <w:r w:rsidRPr="00443744">
              <w:rPr>
                <w:iCs/>
              </w:rPr>
              <w:t xml:space="preserve"> that includes both transportation and service rates (Adult Day Support, Vocational Habilitation, Group Employment) when the chosen provider for service is also chosen to meet service transportation needs. </w:t>
            </w:r>
            <w:r w:rsidR="00962402">
              <w:rPr>
                <w:iCs/>
              </w:rPr>
              <w:t>Create</w:t>
            </w:r>
            <w:r w:rsidR="001A0C7A">
              <w:rPr>
                <w:iCs/>
              </w:rPr>
              <w:t xml:space="preserve"> roll up code </w:t>
            </w:r>
            <w:r w:rsidR="008A35C4" w:rsidRPr="00443744">
              <w:rPr>
                <w:iCs/>
              </w:rPr>
              <w:t xml:space="preserve">into service rate to include transportation to/from individual’s home, service location(s), and community-integrated trips within service delivery when individual chooses same provider for both ADS and </w:t>
            </w:r>
            <w:r w:rsidR="001A0C7A">
              <w:rPr>
                <w:iCs/>
              </w:rPr>
              <w:t>t</w:t>
            </w:r>
            <w:r w:rsidR="008A35C4" w:rsidRPr="00443744">
              <w:rPr>
                <w:iCs/>
              </w:rPr>
              <w:t xml:space="preserve">ransportation services.  </w:t>
            </w:r>
          </w:p>
          <w:p w14:paraId="3E1D3398" w14:textId="77777777" w:rsidR="008A35C4" w:rsidRDefault="008A35C4" w:rsidP="00443744">
            <w:pPr>
              <w:rPr>
                <w:iCs/>
              </w:rPr>
            </w:pPr>
          </w:p>
          <w:p w14:paraId="4F985B66" w14:textId="5D5726F4" w:rsidR="00443744" w:rsidRPr="00443744" w:rsidRDefault="00443744" w:rsidP="00443744">
            <w:pPr>
              <w:rPr>
                <w:iCs/>
              </w:rPr>
            </w:pPr>
            <w:r w:rsidRPr="00443744">
              <w:rPr>
                <w:iCs/>
              </w:rPr>
              <w:t>Individuals will continue to have access to stand-alone NMT budget to be utilized for transportation needs from a different chosen NMT provider and to access</w:t>
            </w:r>
            <w:r>
              <w:rPr>
                <w:iCs/>
              </w:rPr>
              <w:t xml:space="preserve"> community locations </w:t>
            </w:r>
            <w:r w:rsidR="008A170F">
              <w:rPr>
                <w:iCs/>
              </w:rPr>
              <w:t>through Participant Directed Transportation</w:t>
            </w:r>
            <w:r>
              <w:rPr>
                <w:iCs/>
              </w:rPr>
              <w:t>.</w:t>
            </w:r>
            <w:r w:rsidRPr="00443744">
              <w:rPr>
                <w:iCs/>
              </w:rPr>
              <w:t xml:space="preserve"> </w:t>
            </w:r>
          </w:p>
          <w:p w14:paraId="0FDEED88" w14:textId="77777777" w:rsidR="00443744" w:rsidRPr="00443744" w:rsidRDefault="00443744" w:rsidP="00443744">
            <w:pPr>
              <w:rPr>
                <w:iCs/>
              </w:rPr>
            </w:pPr>
          </w:p>
          <w:p w14:paraId="1CE34C5D" w14:textId="69D41022" w:rsidR="008C6C58" w:rsidRDefault="00443744" w:rsidP="00443744">
            <w:pPr>
              <w:rPr>
                <w:iCs/>
              </w:rPr>
            </w:pPr>
            <w:r w:rsidRPr="00443744">
              <w:rPr>
                <w:iCs/>
              </w:rPr>
              <w:t xml:space="preserve">Would need to ensure daily rates (service + transportation) account for individual needs and costs, daily </w:t>
            </w:r>
            <w:r w:rsidR="00AF001B">
              <w:rPr>
                <w:iCs/>
              </w:rPr>
              <w:t xml:space="preserve">billing </w:t>
            </w:r>
            <w:r w:rsidRPr="00443744">
              <w:rPr>
                <w:iCs/>
              </w:rPr>
              <w:t xml:space="preserve">rate calculated per person.  </w:t>
            </w:r>
          </w:p>
          <w:p w14:paraId="338353AC" w14:textId="77777777" w:rsidR="001D3BDA" w:rsidRDefault="001D3BDA" w:rsidP="00443744"/>
          <w:p w14:paraId="35D6EBE7" w14:textId="609ADE33" w:rsidR="00C44437" w:rsidRDefault="00C44437" w:rsidP="00C44437">
            <w:r>
              <w:t>Data: Adult Day &amp; Employment - number also per trip and per mile NMT:</w:t>
            </w:r>
          </w:p>
          <w:p w14:paraId="431983DA" w14:textId="1A14132F" w:rsidR="00E9473F" w:rsidRDefault="00FA4FE7" w:rsidP="00E9473F">
            <w:pPr>
              <w:pStyle w:val="ListParagraph"/>
              <w:numPr>
                <w:ilvl w:val="0"/>
                <w:numId w:val="17"/>
              </w:numPr>
            </w:pPr>
            <w:r>
              <w:t xml:space="preserve">FY 2019 </w:t>
            </w:r>
            <w:r w:rsidR="00C44437">
              <w:t>28,433 individuals have ADS/</w:t>
            </w:r>
            <w:proofErr w:type="spellStart"/>
            <w:r w:rsidR="00C44437">
              <w:t>VocHab</w:t>
            </w:r>
            <w:proofErr w:type="spellEnd"/>
            <w:r w:rsidR="00C44437">
              <w:t>/Supported Employment in the PAWS plans</w:t>
            </w:r>
          </w:p>
          <w:p w14:paraId="2BE08E90" w14:textId="082F3612" w:rsidR="00C44437" w:rsidRDefault="00C44437" w:rsidP="00FA4FE7">
            <w:pPr>
              <w:pStyle w:val="ListParagraph"/>
              <w:numPr>
                <w:ilvl w:val="1"/>
                <w:numId w:val="17"/>
              </w:numPr>
            </w:pPr>
            <w:r>
              <w:t>Of these individuals, 27,591 (97%) also had NMT in their PAWS plan</w:t>
            </w:r>
          </w:p>
          <w:p w14:paraId="4025A2D5" w14:textId="044C7358" w:rsidR="00C11200" w:rsidRDefault="007803AF" w:rsidP="007803AF">
            <w:pPr>
              <w:pStyle w:val="ListParagraph"/>
              <w:numPr>
                <w:ilvl w:val="2"/>
                <w:numId w:val="17"/>
              </w:numPr>
            </w:pPr>
            <w:r w:rsidRPr="007803AF">
              <w:t>Of those individuals, 19,846 (71.93%) had the same provider approved for NMT and ADS.</w:t>
            </w:r>
          </w:p>
          <w:p w14:paraId="729E1EAC" w14:textId="77777777" w:rsidR="008C6C58" w:rsidRPr="00282C12" w:rsidRDefault="008C6C58" w:rsidP="00575403">
            <w:pPr>
              <w:rPr>
                <w:sz w:val="10"/>
                <w:szCs w:val="10"/>
              </w:rPr>
            </w:pPr>
          </w:p>
        </w:tc>
      </w:tr>
    </w:tbl>
    <w:p w14:paraId="517A60E6" w14:textId="77777777" w:rsidR="008C6C58" w:rsidRPr="008C6C58" w:rsidRDefault="008C6C58" w:rsidP="008C6C58">
      <w:pPr>
        <w:spacing w:after="0"/>
        <w:rPr>
          <w:sz w:val="6"/>
          <w:szCs w:val="6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572"/>
        <w:gridCol w:w="3283"/>
        <w:gridCol w:w="4500"/>
      </w:tblGrid>
      <w:tr w:rsidR="008C6C58" w:rsidRPr="0072076A" w14:paraId="73D64477" w14:textId="77777777" w:rsidTr="00A82D8F">
        <w:trPr>
          <w:trHeight w:val="296"/>
        </w:trPr>
        <w:tc>
          <w:tcPr>
            <w:tcW w:w="4855" w:type="dxa"/>
            <w:gridSpan w:val="2"/>
            <w:shd w:val="clear" w:color="auto" w:fill="F2F2F2" w:themeFill="background1" w:themeFillShade="F2"/>
          </w:tcPr>
          <w:p w14:paraId="5EE4263A" w14:textId="77777777" w:rsidR="008C6C58" w:rsidRPr="0072076A" w:rsidRDefault="008C6C58" w:rsidP="00A82D8F">
            <w:pPr>
              <w:jc w:val="center"/>
              <w:rPr>
                <w:b/>
              </w:rPr>
            </w:pPr>
            <w:r w:rsidRPr="0072076A">
              <w:rPr>
                <w:b/>
              </w:rPr>
              <w:t>Pros</w:t>
            </w:r>
          </w:p>
        </w:tc>
        <w:tc>
          <w:tcPr>
            <w:tcW w:w="4500" w:type="dxa"/>
            <w:shd w:val="clear" w:color="auto" w:fill="F2F2F2" w:themeFill="background1" w:themeFillShade="F2"/>
          </w:tcPr>
          <w:p w14:paraId="719B74A1" w14:textId="77777777" w:rsidR="008C6C58" w:rsidRPr="0072076A" w:rsidRDefault="008C6C58" w:rsidP="00A82D8F">
            <w:pPr>
              <w:jc w:val="center"/>
              <w:rPr>
                <w:b/>
              </w:rPr>
            </w:pPr>
            <w:r w:rsidRPr="0072076A">
              <w:rPr>
                <w:b/>
              </w:rPr>
              <w:t>Cons</w:t>
            </w:r>
          </w:p>
        </w:tc>
      </w:tr>
      <w:tr w:rsidR="008C6C58" w:rsidRPr="0072076A" w14:paraId="190E826F" w14:textId="77777777" w:rsidTr="00634668">
        <w:trPr>
          <w:trHeight w:val="1655"/>
        </w:trPr>
        <w:tc>
          <w:tcPr>
            <w:tcW w:w="4855" w:type="dxa"/>
            <w:gridSpan w:val="2"/>
          </w:tcPr>
          <w:p w14:paraId="13643B74" w14:textId="21FF85B7" w:rsidR="00DA0D4C" w:rsidRPr="00DA0D4C" w:rsidRDefault="00DA0D4C" w:rsidP="00DA0D4C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DA0D4C">
              <w:rPr>
                <w:sz w:val="24"/>
                <w:szCs w:val="24"/>
              </w:rPr>
              <w:t>Decrease in administrative costs for providers</w:t>
            </w:r>
          </w:p>
          <w:p w14:paraId="2E28E844" w14:textId="024269CD" w:rsidR="00DA0D4C" w:rsidRPr="00DA0D4C" w:rsidRDefault="00DA0D4C" w:rsidP="00DA0D4C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DA0D4C">
              <w:rPr>
                <w:sz w:val="24"/>
                <w:szCs w:val="24"/>
              </w:rPr>
              <w:t xml:space="preserve">Increase capacity of transportation only providers to meet individual needs </w:t>
            </w:r>
          </w:p>
          <w:p w14:paraId="5F07CA65" w14:textId="48E18842" w:rsidR="008C6C58" w:rsidRPr="008C6C58" w:rsidRDefault="00DA0D4C" w:rsidP="00DA0D4C">
            <w:pPr>
              <w:pStyle w:val="ListParagraph"/>
              <w:numPr>
                <w:ilvl w:val="0"/>
                <w:numId w:val="14"/>
              </w:numPr>
              <w:rPr>
                <w:sz w:val="15"/>
                <w:szCs w:val="15"/>
              </w:rPr>
            </w:pPr>
            <w:r w:rsidRPr="00DA0D4C">
              <w:rPr>
                <w:sz w:val="24"/>
                <w:szCs w:val="24"/>
              </w:rPr>
              <w:t>Supports community access and HCBS Settings Rule</w:t>
            </w:r>
          </w:p>
        </w:tc>
        <w:tc>
          <w:tcPr>
            <w:tcW w:w="4500" w:type="dxa"/>
          </w:tcPr>
          <w:p w14:paraId="7D45B7E3" w14:textId="7D2761E2" w:rsidR="007E196C" w:rsidRPr="007E196C" w:rsidRDefault="007E196C" w:rsidP="007E196C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7E196C">
              <w:rPr>
                <w:sz w:val="24"/>
                <w:szCs w:val="24"/>
              </w:rPr>
              <w:t>Variance in miles needed/used</w:t>
            </w:r>
          </w:p>
          <w:p w14:paraId="4F439BFA" w14:textId="455FCA93" w:rsidR="007E196C" w:rsidRPr="007E196C" w:rsidRDefault="007E196C" w:rsidP="007E196C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7E196C">
              <w:rPr>
                <w:sz w:val="24"/>
                <w:szCs w:val="24"/>
              </w:rPr>
              <w:t>Free Choice of Provider</w:t>
            </w:r>
            <w:r w:rsidR="006235FB">
              <w:rPr>
                <w:sz w:val="24"/>
                <w:szCs w:val="24"/>
              </w:rPr>
              <w:t xml:space="preserve"> would need to be offered for transportation needs</w:t>
            </w:r>
          </w:p>
          <w:p w14:paraId="683374A3" w14:textId="4B1B6B89" w:rsidR="008C6C58" w:rsidRPr="00634668" w:rsidRDefault="007E196C" w:rsidP="00CD6BB7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7E196C">
              <w:rPr>
                <w:sz w:val="24"/>
                <w:szCs w:val="24"/>
              </w:rPr>
              <w:t>Modifications to billing system</w:t>
            </w:r>
          </w:p>
        </w:tc>
      </w:tr>
      <w:tr w:rsidR="008C6C58" w:rsidRPr="0072076A" w14:paraId="3478E3C7" w14:textId="77777777" w:rsidTr="00A82D8F">
        <w:trPr>
          <w:trHeight w:val="233"/>
        </w:trPr>
        <w:tc>
          <w:tcPr>
            <w:tcW w:w="1572" w:type="dxa"/>
            <w:shd w:val="clear" w:color="auto" w:fill="F2F2F2" w:themeFill="background1" w:themeFillShade="F2"/>
          </w:tcPr>
          <w:p w14:paraId="5CAEA168" w14:textId="77777777" w:rsidR="008C6C58" w:rsidRPr="000F54AC" w:rsidRDefault="008C6C58" w:rsidP="00A82D8F">
            <w:pPr>
              <w:rPr>
                <w:b/>
              </w:rPr>
            </w:pPr>
            <w:r w:rsidRPr="000F54AC">
              <w:rPr>
                <w:b/>
              </w:rPr>
              <w:t>Critical Questions</w:t>
            </w:r>
          </w:p>
        </w:tc>
        <w:tc>
          <w:tcPr>
            <w:tcW w:w="7783" w:type="dxa"/>
            <w:gridSpan w:val="2"/>
            <w:shd w:val="clear" w:color="auto" w:fill="auto"/>
          </w:tcPr>
          <w:p w14:paraId="78E3D820" w14:textId="730AF543" w:rsidR="009464C2" w:rsidRDefault="007E196C" w:rsidP="00872B8E">
            <w:pPr>
              <w:pStyle w:val="ListParagraph"/>
              <w:numPr>
                <w:ilvl w:val="0"/>
                <w:numId w:val="16"/>
              </w:numPr>
            </w:pPr>
            <w:r>
              <w:t>Does this recommendation improve the client experience? Lead to better outcomes for people?</w:t>
            </w:r>
          </w:p>
          <w:p w14:paraId="4C2189B9" w14:textId="4D19F5AC" w:rsidR="008C6C58" w:rsidRDefault="0080356B" w:rsidP="00A82D8F">
            <w:pPr>
              <w:pStyle w:val="ListParagraph"/>
              <w:numPr>
                <w:ilvl w:val="0"/>
                <w:numId w:val="16"/>
              </w:numPr>
            </w:pPr>
            <w:r>
              <w:t>Would DODD billing system support rate structure to allow for</w:t>
            </w:r>
            <w:r w:rsidR="00CD6BB7">
              <w:t xml:space="preserve"> roll-up</w:t>
            </w:r>
            <w:r>
              <w:t xml:space="preserve"> </w:t>
            </w:r>
            <w:r w:rsidR="00170CF7">
              <w:t xml:space="preserve">codes to include transportation </w:t>
            </w:r>
            <w:r w:rsidR="004A0974">
              <w:t xml:space="preserve">or </w:t>
            </w:r>
            <w:r w:rsidR="008D03B8">
              <w:t xml:space="preserve">not include transportation? </w:t>
            </w:r>
            <w:r w:rsidR="000D06FE">
              <w:t>Could roll-up code be created to support simp</w:t>
            </w:r>
            <w:r w:rsidR="00AC3D8C">
              <w:t>lification in billing codes?</w:t>
            </w:r>
          </w:p>
          <w:p w14:paraId="02C75A54" w14:textId="32D116FD" w:rsidR="008C6C58" w:rsidRDefault="00E617A3" w:rsidP="00A82D8F">
            <w:pPr>
              <w:pStyle w:val="ListParagraph"/>
              <w:numPr>
                <w:ilvl w:val="0"/>
                <w:numId w:val="16"/>
              </w:numPr>
            </w:pPr>
            <w:r>
              <w:t>Is this a process change</w:t>
            </w:r>
            <w:r w:rsidR="00080194">
              <w:t xml:space="preserve"> (</w:t>
            </w:r>
            <w:r w:rsidR="004C2CD9">
              <w:t>team meeting, authorization &amp; billing)</w:t>
            </w:r>
            <w:r>
              <w:t xml:space="preserve"> or billing code adjustment? </w:t>
            </w:r>
          </w:p>
          <w:p w14:paraId="2EF2D241" w14:textId="77777777" w:rsidR="008C6C58" w:rsidRPr="00282C12" w:rsidRDefault="008C6C58" w:rsidP="00A82D8F">
            <w:pPr>
              <w:rPr>
                <w:sz w:val="10"/>
                <w:szCs w:val="10"/>
              </w:rPr>
            </w:pPr>
          </w:p>
        </w:tc>
      </w:tr>
    </w:tbl>
    <w:p w14:paraId="531FDD64" w14:textId="77777777" w:rsidR="00282C12" w:rsidRPr="00282C12" w:rsidRDefault="00282C12" w:rsidP="00634668">
      <w:pPr>
        <w:spacing w:after="0"/>
        <w:rPr>
          <w:i/>
        </w:rPr>
      </w:pPr>
    </w:p>
    <w:sectPr w:rsidR="00282C12" w:rsidRPr="00282C12" w:rsidSect="00620C98">
      <w:footerReference w:type="default" r:id="rId10"/>
      <w:pgSz w:w="12240" w:h="15840"/>
      <w:pgMar w:top="1008" w:right="1440" w:bottom="1152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98E0BA" w14:textId="77777777" w:rsidR="000D6CF6" w:rsidRDefault="000D6CF6" w:rsidP="001D17DC">
      <w:pPr>
        <w:spacing w:after="0" w:line="240" w:lineRule="auto"/>
      </w:pPr>
      <w:r>
        <w:separator/>
      </w:r>
    </w:p>
  </w:endnote>
  <w:endnote w:type="continuationSeparator" w:id="0">
    <w:p w14:paraId="2722FAC3" w14:textId="77777777" w:rsidR="000D6CF6" w:rsidRDefault="000D6CF6" w:rsidP="001D17DC">
      <w:pPr>
        <w:spacing w:after="0" w:line="240" w:lineRule="auto"/>
      </w:pPr>
      <w:r>
        <w:continuationSeparator/>
      </w:r>
    </w:p>
  </w:endnote>
  <w:endnote w:type="continuationNotice" w:id="1">
    <w:p w14:paraId="4597B8C5" w14:textId="77777777" w:rsidR="000D6CF6" w:rsidRDefault="000D6C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BFC437" w14:textId="77777777" w:rsidR="00620C98" w:rsidRDefault="00620C98" w:rsidP="00620C98">
    <w:pPr>
      <w:pStyle w:val="Footer"/>
    </w:pPr>
    <w:r w:rsidRPr="009F6CED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384B479" wp14:editId="650C4E7C">
              <wp:simplePos x="0" y="0"/>
              <wp:positionH relativeFrom="column">
                <wp:posOffset>-558800</wp:posOffset>
              </wp:positionH>
              <wp:positionV relativeFrom="paragraph">
                <wp:posOffset>130175</wp:posOffset>
              </wp:positionV>
              <wp:extent cx="215868" cy="230832"/>
              <wp:effectExtent l="0" t="0" r="0" b="0"/>
              <wp:wrapNone/>
              <wp:docPr id="6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5868" cy="23083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36008C" w14:textId="77777777" w:rsidR="00620C98" w:rsidRDefault="00620C98" w:rsidP="00620C98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©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1384B479" id="Rectangle 2" o:spid="_x0000_s1027" style="position:absolute;margin-left:-44pt;margin-top:10.25pt;width:17pt;height:18.2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" filled="f" stroked="f">
              <v:textbox style="mso-fit-shape-to-text:t">
                <w:txbxContent>
                  <w:p w14:paraId="4536008C" w14:textId="77777777" w:rsidR="00620C98" w:rsidRDefault="00620C98" w:rsidP="00620C98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8"/>
                        <w:szCs w:val="18"/>
                      </w:rPr>
                      <w:t>©</w:t>
                    </w:r>
                  </w:p>
                </w:txbxContent>
              </v:textbox>
            </v:rect>
          </w:pict>
        </mc:Fallback>
      </mc:AlternateContent>
    </w:r>
    <w:r w:rsidRPr="009F6CED">
      <w:rPr>
        <w:noProof/>
      </w:rPr>
      <w:drawing>
        <wp:anchor distT="0" distB="0" distL="114300" distR="114300" simplePos="0" relativeHeight="251658240" behindDoc="0" locked="0" layoutInCell="1" allowOverlap="1" wp14:anchorId="242BE4A8" wp14:editId="42EFD34D">
          <wp:simplePos x="0" y="0"/>
          <wp:positionH relativeFrom="column">
            <wp:posOffset>-439420</wp:posOffset>
          </wp:positionH>
          <wp:positionV relativeFrom="paragraph">
            <wp:posOffset>-27305</wp:posOffset>
          </wp:positionV>
          <wp:extent cx="467293" cy="548640"/>
          <wp:effectExtent l="0" t="0" r="0" b="0"/>
          <wp:wrapNone/>
          <wp:docPr id="20" name="Picture 19" descr="C:\Users\Jacqui Romer Sensky\Documents\Basics\Logo\Final Versions\JRS_Group_FinalLogo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19" descr="C:\Users\Jacqui Romer Sensky\Documents\Basics\Logo\Final Versions\JRS_Group_FinalLogo_Logo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293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3865B93D">
      <w:t xml:space="preserve">   </w:t>
    </w:r>
  </w:p>
  <w:p w14:paraId="2ED74527" w14:textId="2033FA90" w:rsidR="00620C98" w:rsidRPr="004B23C7" w:rsidRDefault="00620C98" w:rsidP="00620C98">
    <w:pPr>
      <w:pStyle w:val="Footer"/>
      <w:rPr>
        <w:u w:val="single"/>
      </w:rPr>
    </w:pPr>
    <w:r>
      <w:t xml:space="preserve">     Draft Working Document</w:t>
    </w:r>
    <w:r w:rsidR="00F85FD6">
      <w:t>, Not for Distribution</w:t>
    </w:r>
    <w:r>
      <w:t xml:space="preserve"> __</w:t>
    </w:r>
    <w:r w:rsidR="00CD6BB7">
      <w:rPr>
        <w:u w:val="single"/>
      </w:rPr>
      <w:t>10/8/2020</w:t>
    </w:r>
    <w:r>
      <w:rPr>
        <w:u w:val="single"/>
      </w:rPr>
      <w:t>__</w:t>
    </w:r>
  </w:p>
  <w:p w14:paraId="515EDEC4" w14:textId="54B1D49A" w:rsidR="00B3519B" w:rsidRDefault="00B3519B">
    <w:pPr>
      <w:pStyle w:val="Footer"/>
    </w:pPr>
  </w:p>
  <w:p w14:paraId="074E840E" w14:textId="77777777" w:rsidR="00B3519B" w:rsidRDefault="00B351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E7D6FC" w14:textId="77777777" w:rsidR="000D6CF6" w:rsidRDefault="000D6CF6" w:rsidP="001D17DC">
      <w:pPr>
        <w:spacing w:after="0" w:line="240" w:lineRule="auto"/>
      </w:pPr>
      <w:r>
        <w:separator/>
      </w:r>
    </w:p>
  </w:footnote>
  <w:footnote w:type="continuationSeparator" w:id="0">
    <w:p w14:paraId="0CEE7559" w14:textId="77777777" w:rsidR="000D6CF6" w:rsidRDefault="000D6CF6" w:rsidP="001D17DC">
      <w:pPr>
        <w:spacing w:after="0" w:line="240" w:lineRule="auto"/>
      </w:pPr>
      <w:r>
        <w:continuationSeparator/>
      </w:r>
    </w:p>
  </w:footnote>
  <w:footnote w:type="continuationNotice" w:id="1">
    <w:p w14:paraId="4F137E90" w14:textId="77777777" w:rsidR="000D6CF6" w:rsidRDefault="000D6CF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E7998"/>
    <w:multiLevelType w:val="hybridMultilevel"/>
    <w:tmpl w:val="1242EA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32EF8"/>
    <w:multiLevelType w:val="hybridMultilevel"/>
    <w:tmpl w:val="229C1B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496EAF"/>
    <w:multiLevelType w:val="hybridMultilevel"/>
    <w:tmpl w:val="7CB21AF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24CE3"/>
    <w:multiLevelType w:val="hybridMultilevel"/>
    <w:tmpl w:val="D0EEF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B06AA"/>
    <w:multiLevelType w:val="hybridMultilevel"/>
    <w:tmpl w:val="D4AC7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A67BC"/>
    <w:multiLevelType w:val="hybridMultilevel"/>
    <w:tmpl w:val="C0784576"/>
    <w:lvl w:ilvl="0" w:tplc="DB12024C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A2C96"/>
    <w:multiLevelType w:val="hybridMultilevel"/>
    <w:tmpl w:val="6F08F0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1B0D84"/>
    <w:multiLevelType w:val="hybridMultilevel"/>
    <w:tmpl w:val="49604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5228C3"/>
    <w:multiLevelType w:val="hybridMultilevel"/>
    <w:tmpl w:val="3F3A2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8E5708"/>
    <w:multiLevelType w:val="hybridMultilevel"/>
    <w:tmpl w:val="3ADC68D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512806"/>
    <w:multiLevelType w:val="hybridMultilevel"/>
    <w:tmpl w:val="6A4A3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351B26"/>
    <w:multiLevelType w:val="hybridMultilevel"/>
    <w:tmpl w:val="6F00C0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9E49E8"/>
    <w:multiLevelType w:val="hybridMultilevel"/>
    <w:tmpl w:val="93CEF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926151"/>
    <w:multiLevelType w:val="hybridMultilevel"/>
    <w:tmpl w:val="66C40D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D07589"/>
    <w:multiLevelType w:val="hybridMultilevel"/>
    <w:tmpl w:val="C60C2D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D110E4"/>
    <w:multiLevelType w:val="hybridMultilevel"/>
    <w:tmpl w:val="4680222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910FE9"/>
    <w:multiLevelType w:val="hybridMultilevel"/>
    <w:tmpl w:val="43AA4C9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0"/>
  </w:num>
  <w:num w:numId="5">
    <w:abstractNumId w:val="9"/>
  </w:num>
  <w:num w:numId="6">
    <w:abstractNumId w:val="11"/>
  </w:num>
  <w:num w:numId="7">
    <w:abstractNumId w:val="16"/>
  </w:num>
  <w:num w:numId="8">
    <w:abstractNumId w:val="14"/>
  </w:num>
  <w:num w:numId="9">
    <w:abstractNumId w:val="13"/>
  </w:num>
  <w:num w:numId="10">
    <w:abstractNumId w:val="15"/>
  </w:num>
  <w:num w:numId="11">
    <w:abstractNumId w:val="2"/>
  </w:num>
  <w:num w:numId="12">
    <w:abstractNumId w:val="6"/>
  </w:num>
  <w:num w:numId="13">
    <w:abstractNumId w:val="1"/>
  </w:num>
  <w:num w:numId="14">
    <w:abstractNumId w:val="5"/>
  </w:num>
  <w:num w:numId="15">
    <w:abstractNumId w:val="3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3E8"/>
    <w:rsid w:val="0002755D"/>
    <w:rsid w:val="00043FE6"/>
    <w:rsid w:val="000444A3"/>
    <w:rsid w:val="000471E2"/>
    <w:rsid w:val="000525B8"/>
    <w:rsid w:val="000721C0"/>
    <w:rsid w:val="00080194"/>
    <w:rsid w:val="00084307"/>
    <w:rsid w:val="000B424A"/>
    <w:rsid w:val="000C7322"/>
    <w:rsid w:val="000D06FE"/>
    <w:rsid w:val="000D6CF6"/>
    <w:rsid w:val="000F1D72"/>
    <w:rsid w:val="000F54AC"/>
    <w:rsid w:val="000F5D47"/>
    <w:rsid w:val="000F6733"/>
    <w:rsid w:val="00170CF7"/>
    <w:rsid w:val="00186937"/>
    <w:rsid w:val="001A0C7A"/>
    <w:rsid w:val="001B300C"/>
    <w:rsid w:val="001C22DA"/>
    <w:rsid w:val="001D17DC"/>
    <w:rsid w:val="001D3BDA"/>
    <w:rsid w:val="002146A9"/>
    <w:rsid w:val="002232E7"/>
    <w:rsid w:val="00225577"/>
    <w:rsid w:val="00243253"/>
    <w:rsid w:val="002543CF"/>
    <w:rsid w:val="00282C12"/>
    <w:rsid w:val="00287540"/>
    <w:rsid w:val="00291F99"/>
    <w:rsid w:val="002957A5"/>
    <w:rsid w:val="002A7369"/>
    <w:rsid w:val="002D1707"/>
    <w:rsid w:val="002E461E"/>
    <w:rsid w:val="00307DBF"/>
    <w:rsid w:val="00314FAE"/>
    <w:rsid w:val="0032467E"/>
    <w:rsid w:val="00331FD8"/>
    <w:rsid w:val="00366EDA"/>
    <w:rsid w:val="00377008"/>
    <w:rsid w:val="00384499"/>
    <w:rsid w:val="00387B22"/>
    <w:rsid w:val="003A4425"/>
    <w:rsid w:val="003B60C7"/>
    <w:rsid w:val="003C1C16"/>
    <w:rsid w:val="003C5038"/>
    <w:rsid w:val="00432611"/>
    <w:rsid w:val="00441393"/>
    <w:rsid w:val="00443744"/>
    <w:rsid w:val="00446D05"/>
    <w:rsid w:val="004560DA"/>
    <w:rsid w:val="00472307"/>
    <w:rsid w:val="00472882"/>
    <w:rsid w:val="00481110"/>
    <w:rsid w:val="004A026C"/>
    <w:rsid w:val="004A0974"/>
    <w:rsid w:val="004B3B29"/>
    <w:rsid w:val="004C16FB"/>
    <w:rsid w:val="004C2CD9"/>
    <w:rsid w:val="004C53E6"/>
    <w:rsid w:val="004E6232"/>
    <w:rsid w:val="004F165F"/>
    <w:rsid w:val="00514F7D"/>
    <w:rsid w:val="005236C3"/>
    <w:rsid w:val="005367AB"/>
    <w:rsid w:val="005467BE"/>
    <w:rsid w:val="005516E5"/>
    <w:rsid w:val="0057292F"/>
    <w:rsid w:val="00575403"/>
    <w:rsid w:val="0058005B"/>
    <w:rsid w:val="0058542A"/>
    <w:rsid w:val="00585B2C"/>
    <w:rsid w:val="005B5FBA"/>
    <w:rsid w:val="005E0857"/>
    <w:rsid w:val="005E5CB0"/>
    <w:rsid w:val="005F00BF"/>
    <w:rsid w:val="005F391E"/>
    <w:rsid w:val="0061285B"/>
    <w:rsid w:val="0061550F"/>
    <w:rsid w:val="006169D7"/>
    <w:rsid w:val="00620C98"/>
    <w:rsid w:val="006235FB"/>
    <w:rsid w:val="00634668"/>
    <w:rsid w:val="00636BEB"/>
    <w:rsid w:val="00640D42"/>
    <w:rsid w:val="006411F3"/>
    <w:rsid w:val="00657891"/>
    <w:rsid w:val="0069247F"/>
    <w:rsid w:val="006A1095"/>
    <w:rsid w:val="006A4711"/>
    <w:rsid w:val="006C01EC"/>
    <w:rsid w:val="006C65D8"/>
    <w:rsid w:val="006F1D44"/>
    <w:rsid w:val="00703623"/>
    <w:rsid w:val="00710E8D"/>
    <w:rsid w:val="0071356A"/>
    <w:rsid w:val="00716091"/>
    <w:rsid w:val="00717746"/>
    <w:rsid w:val="0072076A"/>
    <w:rsid w:val="00726529"/>
    <w:rsid w:val="007366A3"/>
    <w:rsid w:val="007413F9"/>
    <w:rsid w:val="0076128D"/>
    <w:rsid w:val="00775184"/>
    <w:rsid w:val="00777602"/>
    <w:rsid w:val="007803AF"/>
    <w:rsid w:val="00785540"/>
    <w:rsid w:val="007C2255"/>
    <w:rsid w:val="007D418B"/>
    <w:rsid w:val="007D6625"/>
    <w:rsid w:val="007E179E"/>
    <w:rsid w:val="007E196C"/>
    <w:rsid w:val="008026B6"/>
    <w:rsid w:val="0080356B"/>
    <w:rsid w:val="0082518C"/>
    <w:rsid w:val="00830EDD"/>
    <w:rsid w:val="00836F00"/>
    <w:rsid w:val="00861CE4"/>
    <w:rsid w:val="008645CF"/>
    <w:rsid w:val="00872B8E"/>
    <w:rsid w:val="00872FBA"/>
    <w:rsid w:val="008973DC"/>
    <w:rsid w:val="008A0175"/>
    <w:rsid w:val="008A170F"/>
    <w:rsid w:val="008A35C4"/>
    <w:rsid w:val="008A5DC4"/>
    <w:rsid w:val="008B0E3C"/>
    <w:rsid w:val="008C53F4"/>
    <w:rsid w:val="008C6C58"/>
    <w:rsid w:val="008D03B8"/>
    <w:rsid w:val="008E4ACE"/>
    <w:rsid w:val="008E4EC4"/>
    <w:rsid w:val="0090391E"/>
    <w:rsid w:val="00933C01"/>
    <w:rsid w:val="0094432B"/>
    <w:rsid w:val="009464C2"/>
    <w:rsid w:val="0094672E"/>
    <w:rsid w:val="00955D96"/>
    <w:rsid w:val="009617CE"/>
    <w:rsid w:val="00962402"/>
    <w:rsid w:val="00964118"/>
    <w:rsid w:val="00971026"/>
    <w:rsid w:val="009741FA"/>
    <w:rsid w:val="0097530F"/>
    <w:rsid w:val="00990DE7"/>
    <w:rsid w:val="009A7E2F"/>
    <w:rsid w:val="009E2978"/>
    <w:rsid w:val="009E72AC"/>
    <w:rsid w:val="00A10269"/>
    <w:rsid w:val="00A175E2"/>
    <w:rsid w:val="00A265C9"/>
    <w:rsid w:val="00A47714"/>
    <w:rsid w:val="00A637E3"/>
    <w:rsid w:val="00A66880"/>
    <w:rsid w:val="00A73641"/>
    <w:rsid w:val="00A76F6C"/>
    <w:rsid w:val="00A82D8F"/>
    <w:rsid w:val="00A87EEB"/>
    <w:rsid w:val="00AA1472"/>
    <w:rsid w:val="00AA59FD"/>
    <w:rsid w:val="00AB6783"/>
    <w:rsid w:val="00AC3D8C"/>
    <w:rsid w:val="00AD5978"/>
    <w:rsid w:val="00AD5A79"/>
    <w:rsid w:val="00AE3194"/>
    <w:rsid w:val="00AF001B"/>
    <w:rsid w:val="00AF5816"/>
    <w:rsid w:val="00AF5FBA"/>
    <w:rsid w:val="00B009CA"/>
    <w:rsid w:val="00B1778A"/>
    <w:rsid w:val="00B263E0"/>
    <w:rsid w:val="00B27E42"/>
    <w:rsid w:val="00B3218F"/>
    <w:rsid w:val="00B3519B"/>
    <w:rsid w:val="00B4239D"/>
    <w:rsid w:val="00B64D36"/>
    <w:rsid w:val="00B84240"/>
    <w:rsid w:val="00BA72DE"/>
    <w:rsid w:val="00BD77EB"/>
    <w:rsid w:val="00BE2764"/>
    <w:rsid w:val="00C06DD4"/>
    <w:rsid w:val="00C11200"/>
    <w:rsid w:val="00C352A8"/>
    <w:rsid w:val="00C44437"/>
    <w:rsid w:val="00C530F6"/>
    <w:rsid w:val="00C64ED6"/>
    <w:rsid w:val="00C844FD"/>
    <w:rsid w:val="00CC3A72"/>
    <w:rsid w:val="00CD6836"/>
    <w:rsid w:val="00CD6BB7"/>
    <w:rsid w:val="00CE33FA"/>
    <w:rsid w:val="00CF0AF2"/>
    <w:rsid w:val="00CF5DAF"/>
    <w:rsid w:val="00D213E8"/>
    <w:rsid w:val="00D30285"/>
    <w:rsid w:val="00D35057"/>
    <w:rsid w:val="00D51630"/>
    <w:rsid w:val="00D64A4D"/>
    <w:rsid w:val="00D915C7"/>
    <w:rsid w:val="00D9343C"/>
    <w:rsid w:val="00D93E60"/>
    <w:rsid w:val="00DA0D4C"/>
    <w:rsid w:val="00DC4A06"/>
    <w:rsid w:val="00DE6675"/>
    <w:rsid w:val="00E04CA0"/>
    <w:rsid w:val="00E43602"/>
    <w:rsid w:val="00E57E62"/>
    <w:rsid w:val="00E617A3"/>
    <w:rsid w:val="00E851BF"/>
    <w:rsid w:val="00E9473F"/>
    <w:rsid w:val="00EF220E"/>
    <w:rsid w:val="00F0395D"/>
    <w:rsid w:val="00F0470A"/>
    <w:rsid w:val="00F177A3"/>
    <w:rsid w:val="00F22388"/>
    <w:rsid w:val="00F42C6E"/>
    <w:rsid w:val="00F52681"/>
    <w:rsid w:val="00F55210"/>
    <w:rsid w:val="00F85FD6"/>
    <w:rsid w:val="00F904BC"/>
    <w:rsid w:val="00F91917"/>
    <w:rsid w:val="00FA4FE7"/>
    <w:rsid w:val="00FB358B"/>
    <w:rsid w:val="00FD0DC5"/>
    <w:rsid w:val="00FE52DD"/>
    <w:rsid w:val="00FF65F0"/>
    <w:rsid w:val="00FF66D5"/>
    <w:rsid w:val="174FE597"/>
    <w:rsid w:val="1BD75313"/>
    <w:rsid w:val="1E74E725"/>
    <w:rsid w:val="2B5397BD"/>
    <w:rsid w:val="306F74FC"/>
    <w:rsid w:val="3865B93D"/>
    <w:rsid w:val="3D5781F0"/>
    <w:rsid w:val="3F0FAEF9"/>
    <w:rsid w:val="4611EAD0"/>
    <w:rsid w:val="46590A39"/>
    <w:rsid w:val="496C55D5"/>
    <w:rsid w:val="4B6E1944"/>
    <w:rsid w:val="50F45128"/>
    <w:rsid w:val="68CE6B70"/>
    <w:rsid w:val="713CF679"/>
    <w:rsid w:val="73B4D1E9"/>
    <w:rsid w:val="77BF8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285652"/>
  <w15:docId w15:val="{B9050265-CBAE-44B2-A4C2-0BBAC6886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861C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2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55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6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6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D17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7DC"/>
  </w:style>
  <w:style w:type="paragraph" w:styleId="Footer">
    <w:name w:val="footer"/>
    <w:basedOn w:val="Normal"/>
    <w:link w:val="FooterChar"/>
    <w:uiPriority w:val="99"/>
    <w:unhideWhenUsed/>
    <w:rsid w:val="001D17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7DC"/>
  </w:style>
  <w:style w:type="paragraph" w:styleId="NormalWeb">
    <w:name w:val="Normal (Web)"/>
    <w:basedOn w:val="Normal"/>
    <w:uiPriority w:val="99"/>
    <w:semiHidden/>
    <w:unhideWhenUsed/>
    <w:rsid w:val="004C16F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C16FB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61285B"/>
  </w:style>
  <w:style w:type="character" w:customStyle="1" w:styleId="eop">
    <w:name w:val="eop"/>
    <w:basedOn w:val="DefaultParagraphFont"/>
    <w:rsid w:val="00612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14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3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B7000D5FBDB3449D5DF8E32621EB45" ma:contentTypeVersion="6" ma:contentTypeDescription="Create a new document." ma:contentTypeScope="" ma:versionID="a4581b93ca5fa0e6e7556a7d38c38b3a">
  <xsd:schema xmlns:xsd="http://www.w3.org/2001/XMLSchema" xmlns:xs="http://www.w3.org/2001/XMLSchema" xmlns:p="http://schemas.microsoft.com/office/2006/metadata/properties" xmlns:ns2="d0ee2423-3cc5-4397-99fe-4095c8b1b4ef" targetNamespace="http://schemas.microsoft.com/office/2006/metadata/properties" ma:root="true" ma:fieldsID="6170775b4dbc826905810ff229272f81" ns2:_="">
    <xsd:import namespace="d0ee2423-3cc5-4397-99fe-4095c8b1b4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e2423-3cc5-4397-99fe-4095c8b1b4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FAEFB3-F698-4318-847C-03D5805373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C899FA-8FE1-4DCE-AE96-AA989852CC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e2423-3cc5-4397-99fe-4095c8b1b4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75B17C-583A-45F5-A48A-3E6023E92E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Romer Sensky</dc:creator>
  <cp:keywords/>
  <cp:lastModifiedBy>J S</cp:lastModifiedBy>
  <cp:revision>2</cp:revision>
  <cp:lastPrinted>2020-10-22T15:14:00Z</cp:lastPrinted>
  <dcterms:created xsi:type="dcterms:W3CDTF">2020-10-22T15:14:00Z</dcterms:created>
  <dcterms:modified xsi:type="dcterms:W3CDTF">2020-10-22T15:14:00Z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0x010100E4B7000D5FBDB3449D5DF8E32621EB45</vt:lpwstr>
  </property>
</Properties>
</file>