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243FE55E" w:rsidR="00B3218F" w:rsidRPr="00B3218F" w:rsidRDefault="00CE5CB3" w:rsidP="00D213E8">
            <w:r>
              <w:t>Places on the Path Revisited</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3926D993" w:rsidR="00785540" w:rsidRDefault="00CE5CB3" w:rsidP="00D213E8">
            <w:r>
              <w:t>ADS Non-Work</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673F20F9" w:rsidR="00B3218F" w:rsidRPr="00B3218F" w:rsidRDefault="00BE2CF0" w:rsidP="00D213E8">
            <w:r>
              <w:t>Identification Number</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77777777" w:rsidR="00851AC4" w:rsidRDefault="00851AC4" w:rsidP="00D213E8">
            <w:pPr>
              <w:rPr>
                <w:iCs/>
              </w:rPr>
            </w:pPr>
          </w:p>
        </w:tc>
        <w:tc>
          <w:tcPr>
            <w:tcW w:w="1530" w:type="dxa"/>
          </w:tcPr>
          <w:p w14:paraId="09672D14" w14:textId="77777777" w:rsidR="00851AC4" w:rsidRDefault="00851AC4" w:rsidP="00D213E8">
            <w:pPr>
              <w:rPr>
                <w:iCs/>
              </w:rPr>
            </w:pP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308A3D9B" w14:textId="77777777" w:rsidR="00CE5CB3" w:rsidRDefault="00CE5CB3" w:rsidP="00CE5CB3"/>
          <w:p w14:paraId="2F986330" w14:textId="668EA806" w:rsidR="00CE5CB3" w:rsidRDefault="00CE5CB3" w:rsidP="00CE5CB3">
            <w:r>
              <w:t>All four of the “Paths to Employment” talk about employment ONLY, which makes the planning process less person-centered.   The places on the Path need to relate more to a person’s current situation, as opposed to only employment.  Path 4 is especially confusing. What exactly does it mean?  “I don’t think I want to work but I may not know enough about it?”  What if you</w:t>
            </w:r>
            <w:r>
              <w:rPr>
                <w:i/>
                <w:iCs/>
              </w:rPr>
              <w:t xml:space="preserve"> do</w:t>
            </w:r>
            <w:r>
              <w:t xml:space="preserve"> know you don’t want to work?  And you want to explore and discover other possibilities?   It’s difficult to develop possible outcomes for the possibility to be communicated and for the team to plan properly.   </w:t>
            </w:r>
          </w:p>
          <w:p w14:paraId="721C9E16" w14:textId="0421E5A8" w:rsidR="00B61C26" w:rsidRDefault="00B61C26" w:rsidP="00D213E8">
            <w:pPr>
              <w:rPr>
                <w:iCs/>
              </w:rPr>
            </w:pP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461D15A3" w14:textId="77777777" w:rsidR="009D3679" w:rsidRDefault="009D3679" w:rsidP="009F3C55">
            <w:pPr>
              <w:rPr>
                <w:iCs/>
              </w:rPr>
            </w:pPr>
          </w:p>
          <w:p w14:paraId="1091B8A9" w14:textId="19CD73C3" w:rsidR="00CE5CB3" w:rsidRDefault="00CE5CB3" w:rsidP="00CE5CB3">
            <w:r>
              <w:rPr>
                <w:iCs/>
              </w:rPr>
              <w:t>We recommend r</w:t>
            </w:r>
            <w:r>
              <w:t>evising the places on the Path to Employment to include a place that signifies the choice not to work, will make planning more honest and effective, and will help people being supported and their teams to develop better outcomes outside of “supported employment.”  Place 4 on the current Path to Employment should be: “I don’t want to work in the community but need help in discovering other ways to contribute and be a part of my community.”</w:t>
            </w:r>
          </w:p>
          <w:p w14:paraId="302CD2DB" w14:textId="4165F1FA" w:rsidR="00CE5CB3" w:rsidRDefault="00CE5CB3" w:rsidP="009F3C55">
            <w:pPr>
              <w:rPr>
                <w:iCs/>
              </w:rPr>
            </w:pP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64969ED2" w14:textId="77777777" w:rsidR="00CE5CB3" w:rsidRDefault="00CE5CB3" w:rsidP="00CE5CB3">
            <w:pPr>
              <w:rPr>
                <w:iCs/>
              </w:rPr>
            </w:pPr>
          </w:p>
          <w:p w14:paraId="2C5921A7" w14:textId="172A30E0" w:rsidR="00CE5CB3" w:rsidRPr="00CE5CB3" w:rsidRDefault="00CE5CB3" w:rsidP="00CE5CB3">
            <w:pPr>
              <w:rPr>
                <w:iCs/>
              </w:rPr>
            </w:pPr>
            <w:r>
              <w:rPr>
                <w:iCs/>
              </w:rPr>
              <w:t xml:space="preserve">The intent supporting this recommendation is to support better planning and service provision by </w:t>
            </w:r>
            <w:proofErr w:type="gramStart"/>
            <w:r>
              <w:rPr>
                <w:iCs/>
              </w:rPr>
              <w:t>honing in</w:t>
            </w:r>
            <w:proofErr w:type="gramEnd"/>
            <w:r>
              <w:rPr>
                <w:iCs/>
              </w:rPr>
              <w:t xml:space="preserve"> on real choices and outcomes based on those choices, specifically referencing System Driver 2,  “</w:t>
            </w:r>
            <w:r w:rsidRPr="00CE5CB3">
              <w:rPr>
                <w:iCs/>
              </w:rPr>
              <w:t>The system needs to help individuals lead a fulfilled life with flexible, quality supports.  This includes individual choices and control.</w:t>
            </w:r>
            <w:r>
              <w:rPr>
                <w:iCs/>
              </w:rPr>
              <w:t>”</w:t>
            </w:r>
          </w:p>
          <w:p w14:paraId="551463B7" w14:textId="726CD869" w:rsidR="009D3679" w:rsidRDefault="00814079" w:rsidP="009F3C55">
            <w:pPr>
              <w:rPr>
                <w:iCs/>
              </w:rPr>
            </w:pPr>
            <w:r>
              <w:rPr>
                <w:iCs/>
              </w:rPr>
              <w:t xml:space="preserve"> </w:t>
            </w:r>
          </w:p>
          <w:p w14:paraId="667222A3" w14:textId="157F70BB" w:rsidR="00666662" w:rsidRDefault="00666662" w:rsidP="009F3C55">
            <w:pPr>
              <w:rPr>
                <w:iCs/>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4500C964" w14:textId="77777777" w:rsidR="007E3F71" w:rsidRDefault="00CE5CB3" w:rsidP="00D213E8">
            <w:pPr>
              <w:rPr>
                <w:iCs/>
              </w:rPr>
            </w:pPr>
            <w:r>
              <w:rPr>
                <w:iCs/>
              </w:rPr>
              <w:t xml:space="preserve"> </w:t>
            </w:r>
          </w:p>
          <w:p w14:paraId="59138BAB" w14:textId="77777777" w:rsidR="00CE5CB3" w:rsidRDefault="00CE5CB3" w:rsidP="00CE5CB3">
            <w:pPr>
              <w:pStyle w:val="ListParagraph"/>
              <w:numPr>
                <w:ilvl w:val="0"/>
                <w:numId w:val="16"/>
              </w:numPr>
            </w:pPr>
            <w:r>
              <w:t>More honest planning, with an emphasis on what people truly are interested in</w:t>
            </w:r>
          </w:p>
          <w:p w14:paraId="5DE2021A" w14:textId="77777777" w:rsidR="00CE5CB3" w:rsidRDefault="00CE5CB3" w:rsidP="00CE5CB3">
            <w:pPr>
              <w:pStyle w:val="ListParagraph"/>
              <w:numPr>
                <w:ilvl w:val="0"/>
                <w:numId w:val="16"/>
              </w:numPr>
            </w:pPr>
            <w:r>
              <w:t>Specific to many people’s visions of their futures</w:t>
            </w:r>
          </w:p>
          <w:p w14:paraId="42777743" w14:textId="77777777" w:rsidR="00CE5CB3" w:rsidRDefault="00CE5CB3" w:rsidP="00CE5CB3">
            <w:pPr>
              <w:pStyle w:val="ListParagraph"/>
              <w:numPr>
                <w:ilvl w:val="0"/>
                <w:numId w:val="16"/>
              </w:numPr>
            </w:pPr>
            <w:r>
              <w:t>Opens up the conversation to more ideas and opportunities outside of “employment”</w:t>
            </w:r>
          </w:p>
          <w:p w14:paraId="4D3AB650" w14:textId="77777777" w:rsidR="00CE5CB3" w:rsidRDefault="00CE5CB3" w:rsidP="00D213E8">
            <w:pPr>
              <w:rPr>
                <w:iCs/>
              </w:rPr>
            </w:pPr>
          </w:p>
          <w:p w14:paraId="19D85406" w14:textId="4A3ACF97" w:rsidR="00CE5CB3" w:rsidRPr="00AF320E" w:rsidRDefault="00CE5CB3" w:rsidP="00D213E8">
            <w:pPr>
              <w:rPr>
                <w:iCs/>
              </w:rPr>
            </w:pP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3018A6DE" w14:textId="77777777" w:rsidR="00CE5CB3" w:rsidRDefault="00CE5CB3" w:rsidP="00D213E8">
            <w:pPr>
              <w:rPr>
                <w:iCs/>
              </w:rPr>
            </w:pPr>
          </w:p>
          <w:p w14:paraId="5EC8A939" w14:textId="77777777" w:rsidR="000A38FE" w:rsidRDefault="000A38FE" w:rsidP="000A38FE">
            <w:pPr>
              <w:pStyle w:val="ListParagraph"/>
              <w:numPr>
                <w:ilvl w:val="0"/>
                <w:numId w:val="16"/>
              </w:numPr>
            </w:pPr>
            <w:r>
              <w:t>Allows teams a “way out of” discussing one of the most important aspects of being an adult:  most people must work to have lives</w:t>
            </w:r>
          </w:p>
          <w:p w14:paraId="5310CA72" w14:textId="77777777" w:rsidR="000A38FE" w:rsidRDefault="000A38FE" w:rsidP="000A38FE">
            <w:pPr>
              <w:pStyle w:val="ListParagraph"/>
              <w:numPr>
                <w:ilvl w:val="0"/>
                <w:numId w:val="16"/>
              </w:numPr>
            </w:pPr>
            <w:r>
              <w:t>May allow for less intensive planning around “informed choice”</w:t>
            </w:r>
          </w:p>
          <w:p w14:paraId="46334FFB" w14:textId="77777777" w:rsidR="000A38FE" w:rsidRDefault="000A38FE" w:rsidP="000A38FE">
            <w:pPr>
              <w:pStyle w:val="ListParagraph"/>
              <w:numPr>
                <w:ilvl w:val="0"/>
                <w:numId w:val="16"/>
              </w:numPr>
            </w:pPr>
            <w:r>
              <w:t>May make it easier to NOT have involved conversations</w:t>
            </w:r>
          </w:p>
          <w:p w14:paraId="7110D484" w14:textId="2DB5BCCC" w:rsidR="00666662" w:rsidRDefault="00CE5CB3" w:rsidP="00D213E8">
            <w:pPr>
              <w:rPr>
                <w:iCs/>
              </w:rPr>
            </w:pPr>
            <w:r>
              <w:rPr>
                <w:iCs/>
              </w:rPr>
              <w:t xml:space="preserve"> </w:t>
            </w:r>
          </w:p>
          <w:p w14:paraId="1967F06F" w14:textId="4E6AC4E8" w:rsidR="00CE5CB3" w:rsidRPr="00AF320E" w:rsidRDefault="00CE5CB3" w:rsidP="00D213E8">
            <w:pPr>
              <w:rPr>
                <w:iCs/>
              </w:rPr>
            </w:pP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1C5F370E" w14:textId="2D94CF92" w:rsidR="009D3679" w:rsidRDefault="000A38FE" w:rsidP="009F3C55">
            <w:pPr>
              <w:rPr>
                <w:iCs/>
              </w:rPr>
            </w:pPr>
            <w:r>
              <w:rPr>
                <w:iCs/>
              </w:rPr>
              <w:t xml:space="preserve"> </w:t>
            </w:r>
          </w:p>
          <w:p w14:paraId="40EBCCFC" w14:textId="7C0AC6B8" w:rsidR="000A38FE" w:rsidRDefault="000A38FE" w:rsidP="009F3C55">
            <w:pPr>
              <w:rPr>
                <w:iCs/>
              </w:rPr>
            </w:pPr>
            <w:r>
              <w:rPr>
                <w:iCs/>
              </w:rPr>
              <w:t>No financial implication.</w:t>
            </w:r>
          </w:p>
          <w:p w14:paraId="3AE22038" w14:textId="2D61CF6C" w:rsidR="00B61C26" w:rsidRDefault="00B61C26" w:rsidP="009F3C55">
            <w:pPr>
              <w:rPr>
                <w:iCs/>
              </w:rPr>
            </w:pP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40B4081E" w14:textId="060308C4" w:rsidR="00CD2214" w:rsidRDefault="000A38FE" w:rsidP="009F3C55">
            <w:pPr>
              <w:rPr>
                <w:iCs/>
              </w:rPr>
            </w:pPr>
            <w:r>
              <w:rPr>
                <w:iCs/>
              </w:rPr>
              <w:t xml:space="preserve"> </w:t>
            </w:r>
          </w:p>
          <w:p w14:paraId="3D74037C" w14:textId="71E793B9" w:rsidR="000A38FE" w:rsidRDefault="000A38FE" w:rsidP="009F3C55">
            <w:pPr>
              <w:rPr>
                <w:iCs/>
              </w:rPr>
            </w:pPr>
            <w:r>
              <w:rPr>
                <w:iCs/>
              </w:rPr>
              <w:t>More impactful and beneficial outcomes related to community membership.  Part of this change to Place 4 is an indication that ADS Non-Work supports are not just about “not working,” but figuring out what it means not to work and still accessing the community and connecting in a way each person chooses to.  A measure of success would be Ads Non-Work providers developing capabilities and capacities to support community integration because we now are focused on each person’s chosen outcomes.</w:t>
            </w:r>
          </w:p>
          <w:p w14:paraId="5A8346AB" w14:textId="77777777" w:rsidR="000A38FE" w:rsidRDefault="000A38FE" w:rsidP="009F3C55">
            <w:pPr>
              <w:rPr>
                <w:iCs/>
              </w:rPr>
            </w:pPr>
          </w:p>
          <w:p w14:paraId="5554C166" w14:textId="0BCFDF3E" w:rsidR="00B61C26" w:rsidRDefault="00B61C26" w:rsidP="009F3C55">
            <w:pPr>
              <w:rPr>
                <w:iCs/>
              </w:rPr>
            </w:pP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3307A17D" w14:textId="5F10357B" w:rsidR="00CD2214" w:rsidRDefault="000A38FE" w:rsidP="009F3C55">
            <w:pPr>
              <w:rPr>
                <w:iCs/>
              </w:rPr>
            </w:pPr>
            <w:r>
              <w:rPr>
                <w:iCs/>
              </w:rPr>
              <w:t xml:space="preserve"> A major part of this revision to the Places on the Path to Community Employment is the recognition that people sometimes choose not to work, but that doesn’t mean they are choosing to isolate/segregate themselves.  So the main implementation tip would be to develop more meaningful ADS Non-Work supports and the capacity of providers who deliver these services.  </w:t>
            </w:r>
          </w:p>
          <w:p w14:paraId="29A4D136" w14:textId="55A84263" w:rsidR="00B61C26" w:rsidRDefault="00B61C26" w:rsidP="009F3C55">
            <w:pPr>
              <w:rPr>
                <w:iCs/>
              </w:rPr>
            </w:pP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75600BC0" w14:textId="58890C20" w:rsidR="00CD2214" w:rsidRDefault="000A38FE" w:rsidP="009F3C55">
            <w:pPr>
              <w:rPr>
                <w:iCs/>
              </w:rPr>
            </w:pPr>
            <w:r>
              <w:rPr>
                <w:iCs/>
              </w:rPr>
              <w:t xml:space="preserve"> </w:t>
            </w:r>
          </w:p>
          <w:p w14:paraId="1CA3054A" w14:textId="76CBF416" w:rsidR="000A38FE" w:rsidRDefault="000A38FE" w:rsidP="009F3C55">
            <w:pPr>
              <w:rPr>
                <w:iCs/>
              </w:rPr>
            </w:pPr>
            <w:r>
              <w:rPr>
                <w:iCs/>
              </w:rPr>
              <w:t>Things to think about:</w:t>
            </w:r>
          </w:p>
          <w:p w14:paraId="57794A16" w14:textId="77777777" w:rsidR="000A38FE" w:rsidRDefault="000A38FE" w:rsidP="000A38FE">
            <w:pPr>
              <w:pStyle w:val="ListParagraph"/>
              <w:numPr>
                <w:ilvl w:val="0"/>
                <w:numId w:val="17"/>
              </w:numPr>
            </w:pPr>
            <w:r>
              <w:t>What if people who say they “don’t want to work” change their minds?</w:t>
            </w:r>
          </w:p>
          <w:p w14:paraId="631C12EB" w14:textId="77777777" w:rsidR="000A38FE" w:rsidRDefault="000A38FE" w:rsidP="000A38FE">
            <w:pPr>
              <w:pStyle w:val="ListParagraph"/>
              <w:numPr>
                <w:ilvl w:val="0"/>
                <w:numId w:val="17"/>
              </w:numPr>
            </w:pPr>
            <w:r>
              <w:t xml:space="preserve">How do we currently plan for people who don’t want to work?  </w:t>
            </w:r>
          </w:p>
          <w:p w14:paraId="470EB4E9" w14:textId="77777777" w:rsidR="000A38FE" w:rsidRDefault="000A38FE" w:rsidP="000A38FE">
            <w:pPr>
              <w:pStyle w:val="ListParagraph"/>
              <w:numPr>
                <w:ilvl w:val="0"/>
                <w:numId w:val="17"/>
              </w:numPr>
            </w:pPr>
            <w:r>
              <w:t xml:space="preserve">Should we discriminate against people who choose not to work?  If so, why?  </w:t>
            </w:r>
          </w:p>
          <w:p w14:paraId="095FF79E" w14:textId="77777777" w:rsidR="000A38FE" w:rsidRDefault="000A38FE" w:rsidP="009F3C55">
            <w:pPr>
              <w:rPr>
                <w:iCs/>
              </w:rPr>
            </w:pPr>
          </w:p>
          <w:p w14:paraId="4C720295" w14:textId="46CB03DD" w:rsidR="00B61C26" w:rsidRDefault="00B61C26" w:rsidP="009F3C55">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77777777" w:rsidR="00EE0DC4" w:rsidRDefault="00EE0DC4" w:rsidP="009F3C55">
            <w:pPr>
              <w:rPr>
                <w:iCs/>
              </w:rPr>
            </w:pP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77777777" w:rsidR="00EE0DC4" w:rsidRDefault="00EE0DC4" w:rsidP="009F3C55">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77777777" w:rsidR="00711B79" w:rsidRPr="00141F7B" w:rsidRDefault="00711B79" w:rsidP="009F3C55">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77777777" w:rsidR="00814079" w:rsidRDefault="00814079"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77777777" w:rsidR="00814079" w:rsidRDefault="00814079" w:rsidP="009F3C55">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77777777" w:rsidR="009D4E5F" w:rsidRDefault="009D4E5F"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7777777" w:rsidR="00814079" w:rsidRDefault="00814079" w:rsidP="009F3C55">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77777777" w:rsidR="001753C3" w:rsidRDefault="001753C3" w:rsidP="009F3C55">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77777777" w:rsidR="007F728D" w:rsidRDefault="007F728D" w:rsidP="009F3C55">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77777777" w:rsidR="00814079" w:rsidRDefault="00814079"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77777777" w:rsidR="00814079" w:rsidRDefault="00814079" w:rsidP="009F3C55">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77777777" w:rsidR="00814079" w:rsidRDefault="00814079" w:rsidP="009F3C55">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w:t>
            </w:r>
            <w:proofErr w:type="gramStart"/>
            <w:r>
              <w:rPr>
                <w:iCs/>
              </w:rPr>
              <w:t>individual lives</w:t>
            </w:r>
            <w:proofErr w:type="gramEnd"/>
            <w:r>
              <w:rPr>
                <w:iCs/>
              </w:rPr>
              <w:t xml:space="preserve">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77777777" w:rsidR="001753C3" w:rsidRDefault="001753C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7"/>
      <w:headerReference w:type="default" r:id="rId8"/>
      <w:footerReference w:type="even" r:id="rId9"/>
      <w:footerReference w:type="default" r:id="rId10"/>
      <w:headerReference w:type="first" r:id="rId11"/>
      <w:footerReference w:type="first" r:id="rId12"/>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0F3EE" w14:textId="77777777" w:rsidR="00261E5A" w:rsidRDefault="00261E5A" w:rsidP="001D17DC">
      <w:pPr>
        <w:spacing w:after="0" w:line="240" w:lineRule="auto"/>
      </w:pPr>
      <w:r>
        <w:separator/>
      </w:r>
    </w:p>
  </w:endnote>
  <w:endnote w:type="continuationSeparator" w:id="0">
    <w:p w14:paraId="74C46971" w14:textId="77777777" w:rsidR="00261E5A" w:rsidRDefault="00261E5A"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EC645" w14:textId="77777777" w:rsidR="00261E5A" w:rsidRDefault="00261E5A" w:rsidP="001D17DC">
      <w:pPr>
        <w:spacing w:after="0" w:line="240" w:lineRule="auto"/>
      </w:pPr>
      <w:r>
        <w:separator/>
      </w:r>
    </w:p>
  </w:footnote>
  <w:footnote w:type="continuationSeparator" w:id="0">
    <w:p w14:paraId="01D61DD8" w14:textId="77777777" w:rsidR="00261E5A" w:rsidRDefault="00261E5A"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261E5A">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261E5A">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261E5A">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976F3"/>
    <w:multiLevelType w:val="hybridMultilevel"/>
    <w:tmpl w:val="2B28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0511B"/>
    <w:multiLevelType w:val="hybridMultilevel"/>
    <w:tmpl w:val="78A49D9E"/>
    <w:lvl w:ilvl="0" w:tplc="2856E8BC">
      <w:start w:val="1"/>
      <w:numFmt w:val="decimal"/>
      <w:lvlText w:val="%1."/>
      <w:lvlJc w:val="left"/>
      <w:pPr>
        <w:tabs>
          <w:tab w:val="num" w:pos="720"/>
        </w:tabs>
        <w:ind w:left="720" w:hanging="360"/>
      </w:pPr>
    </w:lvl>
    <w:lvl w:ilvl="1" w:tplc="2F66C9D4" w:tentative="1">
      <w:start w:val="1"/>
      <w:numFmt w:val="decimal"/>
      <w:lvlText w:val="%2."/>
      <w:lvlJc w:val="left"/>
      <w:pPr>
        <w:tabs>
          <w:tab w:val="num" w:pos="1440"/>
        </w:tabs>
        <w:ind w:left="1440" w:hanging="360"/>
      </w:pPr>
    </w:lvl>
    <w:lvl w:ilvl="2" w:tplc="447CAFA6" w:tentative="1">
      <w:start w:val="1"/>
      <w:numFmt w:val="decimal"/>
      <w:lvlText w:val="%3."/>
      <w:lvlJc w:val="left"/>
      <w:pPr>
        <w:tabs>
          <w:tab w:val="num" w:pos="2160"/>
        </w:tabs>
        <w:ind w:left="2160" w:hanging="360"/>
      </w:pPr>
    </w:lvl>
    <w:lvl w:ilvl="3" w:tplc="F32EE616" w:tentative="1">
      <w:start w:val="1"/>
      <w:numFmt w:val="decimal"/>
      <w:lvlText w:val="%4."/>
      <w:lvlJc w:val="left"/>
      <w:pPr>
        <w:tabs>
          <w:tab w:val="num" w:pos="2880"/>
        </w:tabs>
        <w:ind w:left="2880" w:hanging="360"/>
      </w:pPr>
    </w:lvl>
    <w:lvl w:ilvl="4" w:tplc="7E724F32" w:tentative="1">
      <w:start w:val="1"/>
      <w:numFmt w:val="decimal"/>
      <w:lvlText w:val="%5."/>
      <w:lvlJc w:val="left"/>
      <w:pPr>
        <w:tabs>
          <w:tab w:val="num" w:pos="3600"/>
        </w:tabs>
        <w:ind w:left="3600" w:hanging="360"/>
      </w:pPr>
    </w:lvl>
    <w:lvl w:ilvl="5" w:tplc="90D26D3E" w:tentative="1">
      <w:start w:val="1"/>
      <w:numFmt w:val="decimal"/>
      <w:lvlText w:val="%6."/>
      <w:lvlJc w:val="left"/>
      <w:pPr>
        <w:tabs>
          <w:tab w:val="num" w:pos="4320"/>
        </w:tabs>
        <w:ind w:left="4320" w:hanging="360"/>
      </w:pPr>
    </w:lvl>
    <w:lvl w:ilvl="6" w:tplc="4D6A3BD2" w:tentative="1">
      <w:start w:val="1"/>
      <w:numFmt w:val="decimal"/>
      <w:lvlText w:val="%7."/>
      <w:lvlJc w:val="left"/>
      <w:pPr>
        <w:tabs>
          <w:tab w:val="num" w:pos="5040"/>
        </w:tabs>
        <w:ind w:left="5040" w:hanging="360"/>
      </w:pPr>
    </w:lvl>
    <w:lvl w:ilvl="7" w:tplc="639CB2A2" w:tentative="1">
      <w:start w:val="1"/>
      <w:numFmt w:val="decimal"/>
      <w:lvlText w:val="%8."/>
      <w:lvlJc w:val="left"/>
      <w:pPr>
        <w:tabs>
          <w:tab w:val="num" w:pos="5760"/>
        </w:tabs>
        <w:ind w:left="5760" w:hanging="360"/>
      </w:pPr>
    </w:lvl>
    <w:lvl w:ilvl="8" w:tplc="8026BD16" w:tentative="1">
      <w:start w:val="1"/>
      <w:numFmt w:val="decimal"/>
      <w:lvlText w:val="%9."/>
      <w:lvlJc w:val="left"/>
      <w:pPr>
        <w:tabs>
          <w:tab w:val="num" w:pos="6480"/>
        </w:tabs>
        <w:ind w:left="6480" w:hanging="360"/>
      </w:pPr>
    </w:lvl>
  </w:abstractNum>
  <w:abstractNum w:abstractNumId="10"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10"/>
  </w:num>
  <w:num w:numId="6">
    <w:abstractNumId w:val="11"/>
  </w:num>
  <w:num w:numId="7">
    <w:abstractNumId w:val="15"/>
  </w:num>
  <w:num w:numId="8">
    <w:abstractNumId w:val="13"/>
  </w:num>
  <w:num w:numId="9">
    <w:abstractNumId w:val="12"/>
  </w:num>
  <w:num w:numId="10">
    <w:abstractNumId w:val="14"/>
  </w:num>
  <w:num w:numId="11">
    <w:abstractNumId w:val="3"/>
  </w:num>
  <w:num w:numId="12">
    <w:abstractNumId w:val="6"/>
  </w:num>
  <w:num w:numId="13">
    <w:abstractNumId w:val="1"/>
  </w:num>
  <w:num w:numId="14">
    <w:abstractNumId w:val="5"/>
  </w:num>
  <w:num w:numId="15">
    <w:abstractNumId w:val="9"/>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14D28"/>
    <w:rsid w:val="0002755D"/>
    <w:rsid w:val="000444A3"/>
    <w:rsid w:val="000471E2"/>
    <w:rsid w:val="000721C0"/>
    <w:rsid w:val="00084307"/>
    <w:rsid w:val="000A38FE"/>
    <w:rsid w:val="000B424A"/>
    <w:rsid w:val="000F1D72"/>
    <w:rsid w:val="000F54AC"/>
    <w:rsid w:val="000F6733"/>
    <w:rsid w:val="00131B13"/>
    <w:rsid w:val="00141F7B"/>
    <w:rsid w:val="001753C3"/>
    <w:rsid w:val="001B300C"/>
    <w:rsid w:val="001C22DA"/>
    <w:rsid w:val="001D17DC"/>
    <w:rsid w:val="00225577"/>
    <w:rsid w:val="00243253"/>
    <w:rsid w:val="00261E5A"/>
    <w:rsid w:val="00282C12"/>
    <w:rsid w:val="002E461E"/>
    <w:rsid w:val="00314FAE"/>
    <w:rsid w:val="0032467E"/>
    <w:rsid w:val="00331FD8"/>
    <w:rsid w:val="00332B3E"/>
    <w:rsid w:val="00364495"/>
    <w:rsid w:val="00384499"/>
    <w:rsid w:val="003C1C16"/>
    <w:rsid w:val="003C5038"/>
    <w:rsid w:val="00441393"/>
    <w:rsid w:val="00446D05"/>
    <w:rsid w:val="00464354"/>
    <w:rsid w:val="00472307"/>
    <w:rsid w:val="004751DC"/>
    <w:rsid w:val="004A026C"/>
    <w:rsid w:val="004B3B29"/>
    <w:rsid w:val="004C16FB"/>
    <w:rsid w:val="00514F7D"/>
    <w:rsid w:val="005367AB"/>
    <w:rsid w:val="005467BE"/>
    <w:rsid w:val="0057292F"/>
    <w:rsid w:val="0058005B"/>
    <w:rsid w:val="005B5FBA"/>
    <w:rsid w:val="005D58E8"/>
    <w:rsid w:val="005E0857"/>
    <w:rsid w:val="005E5CB0"/>
    <w:rsid w:val="005F00BF"/>
    <w:rsid w:val="005F391E"/>
    <w:rsid w:val="00600876"/>
    <w:rsid w:val="00620C98"/>
    <w:rsid w:val="00666662"/>
    <w:rsid w:val="0069247F"/>
    <w:rsid w:val="006A1095"/>
    <w:rsid w:val="006A4711"/>
    <w:rsid w:val="006D05EF"/>
    <w:rsid w:val="006F1D44"/>
    <w:rsid w:val="0070009D"/>
    <w:rsid w:val="00703623"/>
    <w:rsid w:val="00711B79"/>
    <w:rsid w:val="0071356A"/>
    <w:rsid w:val="00716091"/>
    <w:rsid w:val="00717746"/>
    <w:rsid w:val="0072076A"/>
    <w:rsid w:val="00726529"/>
    <w:rsid w:val="0076128D"/>
    <w:rsid w:val="00773199"/>
    <w:rsid w:val="00775184"/>
    <w:rsid w:val="00785540"/>
    <w:rsid w:val="007D418B"/>
    <w:rsid w:val="007E179E"/>
    <w:rsid w:val="007E3F71"/>
    <w:rsid w:val="007F728D"/>
    <w:rsid w:val="008026B6"/>
    <w:rsid w:val="00803320"/>
    <w:rsid w:val="00814079"/>
    <w:rsid w:val="0082518C"/>
    <w:rsid w:val="00830EDD"/>
    <w:rsid w:val="00836F00"/>
    <w:rsid w:val="008460D0"/>
    <w:rsid w:val="00851AC4"/>
    <w:rsid w:val="00861CE4"/>
    <w:rsid w:val="008645CF"/>
    <w:rsid w:val="00872FBA"/>
    <w:rsid w:val="008A0175"/>
    <w:rsid w:val="008A5DC4"/>
    <w:rsid w:val="008B3CE6"/>
    <w:rsid w:val="008E4ACE"/>
    <w:rsid w:val="008E4EC4"/>
    <w:rsid w:val="00933C01"/>
    <w:rsid w:val="00955D96"/>
    <w:rsid w:val="009617CE"/>
    <w:rsid w:val="00964118"/>
    <w:rsid w:val="00964D24"/>
    <w:rsid w:val="0097530F"/>
    <w:rsid w:val="00985E23"/>
    <w:rsid w:val="00990DE7"/>
    <w:rsid w:val="0099402A"/>
    <w:rsid w:val="009A0813"/>
    <w:rsid w:val="009A7E2F"/>
    <w:rsid w:val="009D3679"/>
    <w:rsid w:val="009D4E5F"/>
    <w:rsid w:val="009E72AC"/>
    <w:rsid w:val="009F3F69"/>
    <w:rsid w:val="00A10269"/>
    <w:rsid w:val="00A265C9"/>
    <w:rsid w:val="00A47714"/>
    <w:rsid w:val="00A55BAD"/>
    <w:rsid w:val="00A92D46"/>
    <w:rsid w:val="00AA1472"/>
    <w:rsid w:val="00AA3466"/>
    <w:rsid w:val="00AA59FD"/>
    <w:rsid w:val="00AB7B2B"/>
    <w:rsid w:val="00AE21E3"/>
    <w:rsid w:val="00AE3194"/>
    <w:rsid w:val="00AF320E"/>
    <w:rsid w:val="00B06D48"/>
    <w:rsid w:val="00B21134"/>
    <w:rsid w:val="00B3218F"/>
    <w:rsid w:val="00B3519B"/>
    <w:rsid w:val="00B4239D"/>
    <w:rsid w:val="00B52F66"/>
    <w:rsid w:val="00B61C26"/>
    <w:rsid w:val="00B6441B"/>
    <w:rsid w:val="00B64D36"/>
    <w:rsid w:val="00B7617B"/>
    <w:rsid w:val="00B84240"/>
    <w:rsid w:val="00BA72DE"/>
    <w:rsid w:val="00BD6846"/>
    <w:rsid w:val="00BE02DF"/>
    <w:rsid w:val="00BE2CF0"/>
    <w:rsid w:val="00C06DD4"/>
    <w:rsid w:val="00C11136"/>
    <w:rsid w:val="00C31708"/>
    <w:rsid w:val="00C530F6"/>
    <w:rsid w:val="00C631B9"/>
    <w:rsid w:val="00C6370C"/>
    <w:rsid w:val="00C80AE2"/>
    <w:rsid w:val="00C844FD"/>
    <w:rsid w:val="00CD2214"/>
    <w:rsid w:val="00CD6836"/>
    <w:rsid w:val="00CE33FA"/>
    <w:rsid w:val="00CE5CB3"/>
    <w:rsid w:val="00CF0AF2"/>
    <w:rsid w:val="00CF20BC"/>
    <w:rsid w:val="00CF5DAF"/>
    <w:rsid w:val="00D213E8"/>
    <w:rsid w:val="00D35057"/>
    <w:rsid w:val="00D51630"/>
    <w:rsid w:val="00D60504"/>
    <w:rsid w:val="00D70D35"/>
    <w:rsid w:val="00D9343C"/>
    <w:rsid w:val="00D93E60"/>
    <w:rsid w:val="00DB04CE"/>
    <w:rsid w:val="00DE6675"/>
    <w:rsid w:val="00DE780F"/>
    <w:rsid w:val="00E27E3E"/>
    <w:rsid w:val="00E43602"/>
    <w:rsid w:val="00E57E62"/>
    <w:rsid w:val="00E853D3"/>
    <w:rsid w:val="00EE0DC4"/>
    <w:rsid w:val="00EF220E"/>
    <w:rsid w:val="00F226BB"/>
    <w:rsid w:val="00F42C6E"/>
    <w:rsid w:val="00F53D5B"/>
    <w:rsid w:val="00F83EDF"/>
    <w:rsid w:val="00F91917"/>
    <w:rsid w:val="00F96C6A"/>
    <w:rsid w:val="00FA362B"/>
    <w:rsid w:val="00FC5273"/>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51899">
      <w:bodyDiv w:val="1"/>
      <w:marLeft w:val="0"/>
      <w:marRight w:val="0"/>
      <w:marTop w:val="0"/>
      <w:marBottom w:val="0"/>
      <w:divBdr>
        <w:top w:val="none" w:sz="0" w:space="0" w:color="auto"/>
        <w:left w:val="none" w:sz="0" w:space="0" w:color="auto"/>
        <w:bottom w:val="none" w:sz="0" w:space="0" w:color="auto"/>
        <w:right w:val="none" w:sz="0" w:space="0" w:color="auto"/>
      </w:divBdr>
    </w:div>
    <w:div w:id="958726226">
      <w:bodyDiv w:val="1"/>
      <w:marLeft w:val="0"/>
      <w:marRight w:val="0"/>
      <w:marTop w:val="0"/>
      <w:marBottom w:val="0"/>
      <w:divBdr>
        <w:top w:val="none" w:sz="0" w:space="0" w:color="auto"/>
        <w:left w:val="none" w:sz="0" w:space="0" w:color="auto"/>
        <w:bottom w:val="none" w:sz="0" w:space="0" w:color="auto"/>
        <w:right w:val="none" w:sz="0" w:space="0" w:color="auto"/>
      </w:divBdr>
    </w:div>
    <w:div w:id="101122777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10">
          <w:marLeft w:val="547"/>
          <w:marRight w:val="0"/>
          <w:marTop w:val="0"/>
          <w:marBottom w:val="0"/>
          <w:divBdr>
            <w:top w:val="none" w:sz="0" w:space="0" w:color="auto"/>
            <w:left w:val="none" w:sz="0" w:space="0" w:color="auto"/>
            <w:bottom w:val="none" w:sz="0" w:space="0" w:color="auto"/>
            <w:right w:val="none" w:sz="0" w:space="0" w:color="auto"/>
          </w:divBdr>
        </w:div>
      </w:divsChild>
    </w:div>
    <w:div w:id="1299414620">
      <w:bodyDiv w:val="1"/>
      <w:marLeft w:val="0"/>
      <w:marRight w:val="0"/>
      <w:marTop w:val="0"/>
      <w:marBottom w:val="0"/>
      <w:divBdr>
        <w:top w:val="none" w:sz="0" w:space="0" w:color="auto"/>
        <w:left w:val="none" w:sz="0" w:space="0" w:color="auto"/>
        <w:bottom w:val="none" w:sz="0" w:space="0" w:color="auto"/>
        <w:right w:val="none" w:sz="0" w:space="0" w:color="auto"/>
      </w:divBdr>
    </w:div>
    <w:div w:id="1828210519">
      <w:bodyDiv w:val="1"/>
      <w:marLeft w:val="0"/>
      <w:marRight w:val="0"/>
      <w:marTop w:val="0"/>
      <w:marBottom w:val="0"/>
      <w:divBdr>
        <w:top w:val="none" w:sz="0" w:space="0" w:color="auto"/>
        <w:left w:val="none" w:sz="0" w:space="0" w:color="auto"/>
        <w:bottom w:val="none" w:sz="0" w:space="0" w:color="auto"/>
        <w:right w:val="none" w:sz="0" w:space="0" w:color="auto"/>
      </w:divBdr>
    </w:div>
    <w:div w:id="210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2020-10-22T15:08:00Z</cp:lastPrinted>
  <dcterms:created xsi:type="dcterms:W3CDTF">2020-10-22T15:08:00Z</dcterms:created>
  <dcterms:modified xsi:type="dcterms:W3CDTF">2020-10-22T15:08:00Z</dcterms:modified>
</cp:coreProperties>
</file>